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 Nº6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“Añadir a Carro de Compras”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siguiente caso de uso ilustra cómo un usuario puede añadir un producto al carro de compras asignado a su cuenta.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usuario se dirige a la publicación de su producto deseado y le da click al botón añadir al carro de compras en el header de la misma.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Hay un usuario registrado en la instancia de la aplicación.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sistema guarda una referencia al objeto deseado en el carro de compras de la cuenta asociada al usuario.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 da click en el detalle de su producto de interés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 ventana se actualiza con la página de la publicación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Hace click sobre el botón “añadir al carro de compras”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pop-up de confirmación con el nombre del producto, el precio y la cantidad (modificable)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el botón confirmar añadimiento.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pagina de la publicación, el producto se añade al carro de compras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540"/>
          <w:tab w:val="left" w:pos="1260"/>
        </w:tabs>
        <w:spacing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91025" cy="2114550"/>
            <wp:effectExtent b="0" l="0" r="0" t="0"/>
            <wp:docPr descr="Diagrama de actividad UC6.jpg" id="1" name="image3.jpg"/>
            <a:graphic>
              <a:graphicData uri="http://schemas.openxmlformats.org/drawingml/2006/picture">
                <pic:pic>
                  <pic:nvPicPr>
                    <pic:cNvPr descr="Diagrama de actividad UC6.jpg"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4"/>
              <w:szCs w:val="2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