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ABM de artículos por proveedores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Pablo Radnic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caso de uso ilustra como un usuario proveedor puede dar de alta modificar y borrar artículos dentro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actor de este caso de uso es un usuario de atributo proveedor.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 dirige a la pestaña "perfil" ligada a su cuenta y le da click al botón </w:t>
      </w:r>
      <w:r w:rsidDel="00000000" w:rsidR="00000000" w:rsidRPr="00000000">
        <w:rPr>
          <w:rtl w:val="0"/>
        </w:rPr>
        <w:t xml:space="preserve">“mis artículos”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usuario en cuestión es un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sistema modifica el articulo acorde a los cambios realizados o lo crea.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 clickea en el botón “dar de alta artículo”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muestra una planilla con campos para ingresar los datos de los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llena los campos y clickea dar de alta en la esquina inferior derecha.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 alguno de los campos no es válido, se remarca dicho campo en rojo y se le pide al usuario mediante un cartel que modifique los campos. De no ser así se vuelve al perfil y se le muestra un mensaje de éxito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 presento algún error en los campos los corrige y clickea dar de alta en la esquina inferior derecha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 los campos validan se le muestra un mensaje de éxito y se vuelve al perfil. De lo contrario se vuelve a R2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67025" cy="3209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057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04/09/17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Pablo Radnic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