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  <w:rtl w:val="0"/>
              </w:rPr>
              <w:t xml:space="preserve">Sistema de ventas Kwik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Caso de Uso Nº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</w:tc>
      </w:tr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ABM de artículos por proveedores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04/09/17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Creación de la documentación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Pablo Radnic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Este caso de uso ilustra como un usuario proveedor puede dar de alta modificar y borrar artículos dentro del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actor de este caso de uso es un usuario de atributo proveedor.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se dirige a la pestaña "perfil" ligada a su cuenta y le da click al botón </w:t>
      </w:r>
      <w:r w:rsidDel="00000000" w:rsidR="00000000" w:rsidRPr="00000000">
        <w:rPr>
          <w:rtl w:val="0"/>
        </w:rPr>
        <w:t xml:space="preserve">“mis artículos”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usuario en cuestión es un vendedor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sistema modifica el articulo acorde a los cambios realizados o lo crea.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Básico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Usuario clickea en el botón “dar de alta artículo”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Se le muestra una planilla con campos para ingresar los datos de los artículos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El usuario llena los campos y clickea dar de alta en la esquina inferior derecha.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Si alguno de los campos no es válido, se remarca dicho campo en rojo y se le pide al usuario mediante un cartel que modifique los campos. De no ser así se vuelve al perfil y se le muestra un mensaje de éxito al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Si presento algún error en los campos los corrige y clickea dar de alta en la esquina inferior derecha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si los campos validan se le muestra un mensaje de éxito y se vuelve al perfil. De lo contrario se vuelve a R2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Escenarios Secundarios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Alternativo R#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hay un flujo alternativo para este caso de uso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Especiales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momento no se presentan requerimientos adicionales</w:t>
      </w:r>
    </w:p>
    <w:tbl>
      <w:tblPr>
        <w:tblStyle w:val="Table1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Actividad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867025" cy="3209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057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64770</wp:posOffset>
                </wp:positionH>
                <wp:positionV relativeFrom="paragraph">
                  <wp:posOffset>132715</wp:posOffset>
                </wp:positionV>
                <wp:extent cx="1108710" cy="86233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710" cy="862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Informática - ITBA</w:t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Documento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DST – 05 – XXX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Sistema de ventas kwik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04/09/17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Pablo Radnic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1.0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