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color w:val="1A237E"/>
          <w:sz w:val="52"/>
        </w:rPr>
        <w:t xml:space="preserve">Manual del Administrador</w:t>
      </w:r>
    </w:p>
    <w:p>
      <w:pPr>
        <w:jc w:val="center"/>
        <w:spacing w:after="240"/>
      </w:pPr>
      <w:r>
        <w:rPr>
          <w:b/>
          <w:color w:val="F57C00"/>
          <w:sz w:val="30"/>
        </w:rPr>
        <w:t xml:space="preserve">Canal Ético de Denuncias</w:t>
      </w:r>
    </w:p>
    <w:p>
      <w:pPr>
        <w:jc w:val="both"/>
        <w:spacing w:after="120"/>
      </w:pPr>
      <w:r>
        <w:t xml:space="preserve">Gestión de folios y contenido del sitio. Guía dirigida al Comité de Ética y administradores. ARH Consultores © 2026 — Confidencial.</w:t>
      </w:r>
    </w:p>
    <w:p>
      <w:r>
        <w:br w:type="page"/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1. Acceso al panel de administración</w:t>
      </w:r>
    </w:p>
    <w:p>
      <w:pPr>
        <w:jc w:val="both"/>
        <w:spacing w:after="120"/>
      </w:pPr>
      <w:r>
        <w:t xml:space="preserve">El panel es de uso exclusivo para miembros autorizados del Comité de Ética. Se accede desde la dirección: https://[dominio-del-sitio]/admin/login</w:t>
      </w:r>
    </w:p>
    <w:p>
      <w:pPr>
        <w:jc w:val="both"/>
        <w:spacing w:after="120"/>
      </w:pPr>
      <w:r>
        <w:t xml:space="preserve">También puedes acceder desde el ícono 'Admin' (escudo) en la esquina superior derecha de la página principal.</w:t>
      </w: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Acceso restringido: Solo el personal autorizado debe conocer estas credenciales. No compartas tu usuario ni contraseña.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2. Primer inicio de sesión y cambio de contraseña</w:t>
      </w:r>
    </w:p>
    <w:p>
      <w:pPr>
        <w:jc w:val="both"/>
        <w:spacing w:after="120"/>
      </w:pPr>
      <w:r>
        <w:t xml:space="preserve">El sistema se entrega con un usuario administrador por defecto: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000"/>
        <w:gridCol w:w="5800"/>
      </w:tblGrid>
      <w:tr>
        <w:tc>
          <w:tcPr>
            <w:tcW w:w="30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58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Valor por defecto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Usuario</w:t>
            </w:r>
          </w:p>
        </w:tc>
        <w:tc>
          <w:tcPr>
            <w:tcW w:w="5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admin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Contraseña</w:t>
            </w:r>
          </w:p>
        </w:tc>
        <w:tc>
          <w:tcPr>
            <w:tcW w:w="5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admin123</w:t>
            </w:r>
          </w:p>
        </w:tc>
      </w:tr>
    </w:tbl>
    <w:p>
      <w:pPr>
        <w:spacing w:after="120"/>
      </w:pPr>
    </w:p>
    <w:p>
      <w:pPr>
        <w:pBdr>
          <w:left w:val="single" w:sz="24" w:space="6" w:color="EF4444"/>
        </w:pBdr>
        <w:shd w:val="clear" w:fill="FEF2F2"/>
        <w:spacing w:before="120" w:after="120"/>
        <w:ind w:left="120" w:right="120"/>
      </w:pPr>
      <w:r>
        <w:t xml:space="preserve">CRÍTICO — Cambia la contraseña de inmediato. Lo primero al recibir el sistema es iniciar sesión y cambiar la contraseña. Nunca dejes la contraseña por defecto en producción.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Ingresa a /admin/login.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Escribe tu usuario y contraseña, y presiona 'Iniciar sesión'.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Serás dirigido automáticamente al panel de Folios.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3. Panel de Folios: gestión de denuncias</w:t>
      </w:r>
    </w:p>
    <w:p>
      <w:pPr>
        <w:jc w:val="both"/>
        <w:spacing w:after="120"/>
      </w:pPr>
      <w:r>
        <w:t xml:space="preserve">La sección Folios muestra todas las denuncias recibidas en una tabla: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400"/>
        <w:gridCol w:w="6400"/>
      </w:tblGrid>
      <w:tr>
        <w:tc>
          <w:tcPr>
            <w:tcW w:w="2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Columna</w:t>
            </w:r>
          </w:p>
        </w:tc>
        <w:tc>
          <w:tcPr>
            <w:tcW w:w="64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Folio</w:t>
            </w:r>
          </w:p>
        </w:tc>
        <w:tc>
          <w:tcPr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Identificador único (ej. ARH-2026-00123).</w:t>
            </w:r>
          </w:p>
        </w:tc>
      </w:tr>
      <w:tr>
        <w:tc>
          <w:tcPr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Tipo</w:t>
            </w:r>
          </w:p>
        </w:tc>
        <w:tc>
          <w:tcPr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Categoría de la denuncia.</w:t>
            </w:r>
          </w:p>
        </w:tc>
      </w:tr>
      <w:tr>
        <w:tc>
          <w:tcPr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Empresa</w:t>
            </w:r>
          </w:p>
        </w:tc>
        <w:tc>
          <w:tcPr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Empresa asociada.</w:t>
            </w:r>
          </w:p>
        </w:tc>
      </w:tr>
      <w:tr>
        <w:tc>
          <w:tcPr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Estatus</w:t>
            </w:r>
          </w:p>
        </w:tc>
        <w:tc>
          <w:tcPr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Estado actual (con color distintivo).</w:t>
            </w:r>
          </w:p>
        </w:tc>
      </w:tr>
      <w:tr>
        <w:tc>
          <w:tcPr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Recibida</w:t>
            </w:r>
          </w:p>
        </w:tc>
        <w:tc>
          <w:tcPr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Fecha y hora de recepción.</w:t>
            </w:r>
          </w:p>
        </w:tc>
      </w:tr>
    </w:tbl>
    <w:p>
      <w:pPr>
        <w:spacing w:after="120"/>
      </w:pPr>
    </w:p>
    <w:p>
      <w:pPr>
        <w:spacing w:before="180" w:after="60"/>
      </w:pPr>
      <w:r>
        <w:rPr>
          <w:b/>
          <w:color w:val="283593"/>
          <w:sz w:val="24"/>
        </w:rPr>
        <w:t xml:space="preserve">Buscar y filtrar</w:t>
      </w:r>
    </w:p>
    <w:p>
      <w:pPr>
        <w:numPr>
          <w:ilvl w:val="0"/>
          <w:numId w:val="1"/>
        </w:numPr>
        <w:spacing w:after="40"/>
      </w:pPr>
      <w:r>
        <w:t xml:space="preserve">Búsqueda: escribe en la barra superior para buscar por folio, tipo, empresa o descripción.</w:t>
      </w:r>
    </w:p>
    <w:p>
      <w:pPr>
        <w:numPr>
          <w:ilvl w:val="0"/>
          <w:numId w:val="1"/>
        </w:numPr>
        <w:spacing w:after="40"/>
      </w:pPr>
      <w:r>
        <w:t xml:space="preserve">Filtro por estatus: usa el menú desplegable para ver denuncias en un estado específico.</w:t>
      </w:r>
    </w:p>
    <w:p>
      <w:pPr>
        <w:numPr>
          <w:ilvl w:val="0"/>
          <w:numId w:val="1"/>
        </w:numPr>
        <w:spacing w:after="40"/>
      </w:pPr>
      <w:r>
        <w:t xml:space="preserve">Paginación: los folios se muestran de 10 en 10; usa 'Anterior' y 'Siguiente'.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4. Ver el detalle de una denuncia</w:t>
      </w:r>
    </w:p>
    <w:p>
      <w:pPr>
        <w:jc w:val="both"/>
        <w:spacing w:after="120"/>
      </w:pPr>
      <w:r>
        <w:t xml:space="preserve">Haz clic en cualquier fila para abrir la ventana de detalle, que muestra:</w:t>
      </w:r>
    </w:p>
    <w:p>
      <w:pPr>
        <w:numPr>
          <w:ilvl w:val="0"/>
          <w:numId w:val="1"/>
        </w:numPr>
        <w:spacing w:after="40"/>
      </w:pPr>
      <w:r>
        <w:t xml:space="preserve">Tipo, empresa, centro y modalidad (anónima / identificada).</w:t>
      </w:r>
    </w:p>
    <w:p>
      <w:pPr>
        <w:numPr>
          <w:ilvl w:val="0"/>
          <w:numId w:val="1"/>
        </w:numPr>
        <w:spacing w:after="40"/>
      </w:pPr>
      <w:r>
        <w:t xml:space="preserve">Datos del denunciante (si se identificó).</w:t>
      </w:r>
    </w:p>
    <w:p>
      <w:pPr>
        <w:numPr>
          <w:ilvl w:val="0"/>
          <w:numId w:val="1"/>
        </w:numPr>
        <w:spacing w:after="40"/>
      </w:pPr>
      <w:r>
        <w:t xml:space="preserve">Fechas de recepción y última actualización.</w:t>
      </w:r>
    </w:p>
    <w:p>
      <w:pPr>
        <w:numPr>
          <w:ilvl w:val="0"/>
          <w:numId w:val="1"/>
        </w:numPr>
        <w:spacing w:after="40"/>
      </w:pPr>
      <w:r>
        <w:t xml:space="preserve">Descripción completa de los hechos.</w:t>
      </w:r>
    </w:p>
    <w:p>
      <w:pPr>
        <w:numPr>
          <w:ilvl w:val="0"/>
          <w:numId w:val="1"/>
        </w:numPr>
        <w:spacing w:after="40"/>
      </w:pPr>
      <w:r>
        <w:t xml:space="preserve">Datos completos (payload): sección expandible con toda la información enviada.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5. Cambiar el estatus y agregar notas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Selecciona el nuevo Estatus en el menú desplegable.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Escribe Notas administrativas (internas). Estas notas NO son visibles para el denunciante.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Presiona 'Guardar cambios'. El nuevo estatus será visible para el denunciante al consultar su folio.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Flujo recomendado de estatus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2600"/>
        <w:gridCol w:w="6200"/>
      </w:tblGrid>
      <w:tr>
        <w:tc>
          <w:tcPr>
            <w:tcW w:w="2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Estatus</w:t>
            </w:r>
          </w:p>
        </w:tc>
        <w:tc>
          <w:tcPr>
            <w:tcW w:w="6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Cuándo usarlo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Recibida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Estado inicial automático al recibir la denuncia.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 revisión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Cuando el comité comienza a analizar el caso.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 investigación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Cuando se abre una investigación formal.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Resuelta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Cuando el caso concluye con acciones tomadas.</w:t>
            </w:r>
          </w:p>
        </w:tc>
      </w:tr>
      <w:tr>
        <w:tc>
          <w:tcPr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Desestimada</w:t>
            </w:r>
          </w:p>
        </w:tc>
        <w:tc>
          <w:tcPr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Cuando se cierra sin acción por falta de elementos.</w:t>
            </w:r>
          </w:p>
        </w:tc>
      </w:tr>
    </w:tbl>
    <w:p>
      <w:pPr>
        <w:spacing w:after="120"/>
      </w:pPr>
    </w:p>
    <w:p>
      <w:pPr>
        <w:pBdr>
          <w:left w:val="single" w:sz="24" w:space="6" w:color="22C55E"/>
        </w:pBdr>
        <w:shd w:val="clear" w:fill="F0FDF4"/>
        <w:spacing w:before="120" w:after="120"/>
        <w:ind w:left="120" w:right="120"/>
      </w:pPr>
      <w:r>
        <w:t xml:space="preserve">Buena práctica: Documenta en las notas cada cambio de estatus con fecha y motivo. Crea una bitácora útil para auditorías.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6. Gestión de Contenido (CMS)</w:t>
      </w:r>
    </w:p>
    <w:p>
      <w:pPr>
        <w:jc w:val="both"/>
        <w:spacing w:after="120"/>
      </w:pPr>
      <w:r>
        <w:t xml:space="preserve">La sección Contenido funciona como un mini-CMS (similar a WordPress) que permite editar los textos del sitio público sin tocar código. Bloques editables:</w:t>
      </w:r>
    </w:p>
    <w:tbl>
      <w:tblPr>
        <w:tblStyle w:val="TableGrid"/>
        <w:tblW w:w="0" w:type="auto"/>
        <w:tblBorders>
          <w:top w:val="single" w:sz="4" w:color="E2E8F0"/>
          <w:bottom w:val="single" w:sz="4" w:color="E2E8F0"/>
          <w:left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blGrid>
        <w:gridCol w:w="3200"/>
        <w:gridCol w:w="5600"/>
      </w:tblGrid>
      <w:tr>
        <w:tc>
          <w:tcPr>
            <w:tcW w:w="32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Bloque</w:t>
            </w:r>
          </w:p>
        </w:tc>
        <w:tc>
          <w:tcPr>
            <w:tcW w:w="5600" w:type="dxa"/>
            <w:shd w:val="clear" w:fill="1A237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Título principal</w:t>
            </w:r>
          </w:p>
        </w:tc>
        <w:tc>
          <w:tcPr>
            <w:tcW w:w="5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Encabezado del canal en la página de inicio.</w:t>
            </w:r>
          </w:p>
        </w:tc>
      </w:tr>
      <w:tr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Subtítulo</w:t>
            </w:r>
          </w:p>
        </w:tc>
        <w:tc>
          <w:tcPr>
            <w:tcW w:w="5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Texto secundario del encabezado.</w:t>
            </w:r>
          </w:p>
        </w:tc>
      </w:tr>
      <w:tr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Descripción de inicio</w:t>
            </w:r>
          </w:p>
        </w:tc>
        <w:tc>
          <w:tcPr>
            <w:tcW w:w="5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Texto introductorio (admite HTML).</w:t>
            </w:r>
          </w:p>
        </w:tc>
      </w:tr>
      <w:tr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Aviso de privacidad</w:t>
            </w:r>
          </w:p>
        </w:tc>
        <w:tc>
          <w:tcPr>
            <w:tcW w:w="5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Texto legal del aviso de privacidad.</w:t>
            </w:r>
          </w:p>
        </w:tc>
      </w:tr>
      <w:tr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Texto del pie de página</w:t>
            </w:r>
          </w:p>
        </w:tc>
        <w:tc>
          <w:tcPr>
            <w:tcW w:w="5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Leyenda del footer.</w:t>
            </w:r>
          </w:p>
        </w:tc>
      </w:tr>
      <w:tr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Correo de contacto del comité</w:t>
            </w:r>
          </w:p>
        </w:tc>
        <w:tc>
          <w:tcPr>
            <w:tcW w:w="5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Correo mostrado como contacto.</w:t>
            </w:r>
          </w:p>
        </w:tc>
      </w:tr>
    </w:tbl>
    <w:p>
      <w:pPr>
        <w:spacing w:after="120"/>
      </w:pP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Ingresa a la sección Contenido desde el menú lateral.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Edita el texto del bloque que deseas modificar.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Guarda el bloque. El cambio se refleja de inmediato en el sitio público.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7. Cambiar mi contraseña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1. En el menú lateral, entra a la sección de cambio de contraseña (/admin/password).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2. Ingresa tu contraseña actual y la nueva (dos veces para confirmar).</w:t>
      </w:r>
    </w:p>
    <w:p>
      <w:pPr>
        <w:pBdr>
          <w:left w:val="single" w:sz="24" w:space="6" w:color="C7D2FE"/>
        </w:pBdr>
        <w:shd w:val="clear" w:fill="EEF2FF"/>
        <w:spacing w:before="120" w:after="120"/>
        <w:ind w:left="120" w:right="120"/>
      </w:pPr>
      <w:r>
        <w:t xml:space="preserve">3. Guarda. Usa una contraseña robusta: mínimo 8 caracteres con mayúsculas, minúsculas, números y símbolos.</w:t>
      </w:r>
    </w:p>
    <w:p>
      <w:pPr>
        <w:pBdr>
          <w:left w:val="single" w:sz="24" w:space="6" w:color="22C55E"/>
        </w:pBdr>
        <w:shd w:val="clear" w:fill="F0FDF4"/>
        <w:spacing w:before="120" w:after="120"/>
        <w:ind w:left="120" w:right="120"/>
      </w:pPr>
      <w:r>
        <w:t xml:space="preserve">Recomendación: Cambia la contraseña cada 3-6 meses y nunca la reutilices en otros servicios.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8. Cerrar sesión y buenas prácticas de seguridad</w:t>
      </w:r>
    </w:p>
    <w:p>
      <w:pPr>
        <w:numPr>
          <w:ilvl w:val="0"/>
          <w:numId w:val="1"/>
        </w:numPr>
        <w:spacing w:after="40"/>
      </w:pPr>
      <w:r>
        <w:t xml:space="preserve">Usa 'Cerrar sesión' al terminar, especialmente en equipos compartidos.</w:t>
      </w:r>
    </w:p>
    <w:p>
      <w:pPr>
        <w:numPr>
          <w:ilvl w:val="0"/>
          <w:numId w:val="1"/>
        </w:numPr>
        <w:spacing w:after="40"/>
      </w:pPr>
      <w:r>
        <w:t xml:space="preserve">No compartas tus credenciales con nadie.</w:t>
      </w:r>
    </w:p>
    <w:p>
      <w:pPr>
        <w:numPr>
          <w:ilvl w:val="0"/>
          <w:numId w:val="1"/>
        </w:numPr>
        <w:spacing w:after="40"/>
      </w:pPr>
      <w:r>
        <w:t xml:space="preserve">Accede solo desde equipos y redes de confianza.</w:t>
      </w:r>
    </w:p>
    <w:p>
      <w:pPr>
        <w:numPr>
          <w:ilvl w:val="0"/>
          <w:numId w:val="1"/>
        </w:numPr>
        <w:spacing w:after="40"/>
      </w:pPr>
      <w:r>
        <w:t xml:space="preserve">La sesión se cierra automáticamente tras un periodo de inactividad.</w:t>
      </w:r>
    </w:p>
    <w:p>
      <w:pPr>
        <w:numPr>
          <w:ilvl w:val="0"/>
          <w:numId w:val="1"/>
        </w:numPr>
        <w:spacing w:after="40"/>
      </w:pPr>
      <w:r>
        <w:t xml:space="preserve">Trata toda la información de las denuncias como estrictamente confidencial.</w:t>
      </w:r>
    </w:p>
    <w:p>
      <w:pPr>
        <w:pStyle w:val="Heading1"/>
        <w:spacing w:before="360" w:after="120"/>
        <w:pBdr>
          <w:bottom w:val="single" w:sz="18" w:space="4" w:color="F57C00"/>
        </w:pBdr>
      </w:pPr>
      <w:r>
        <w:rPr>
          <w:b/>
          <w:color w:val="1A237E"/>
          <w:sz w:val="36"/>
        </w:rPr>
        <w:t xml:space="preserve">9. Solución de problemas frecuentes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No puedo iniciar sesión</w:t>
      </w:r>
    </w:p>
    <w:p>
      <w:pPr>
        <w:jc w:val="both"/>
        <w:spacing w:after="120"/>
      </w:pPr>
      <w:r>
        <w:t xml:space="preserve">Verifica usuario y contraseña. Si olvidaste la contraseña, contacta al responsable técnico para restablecerla en la base de datos (Supabase).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No aparecen folios nuevos</w:t>
      </w:r>
    </w:p>
    <w:p>
      <w:pPr>
        <w:jc w:val="both"/>
        <w:spacing w:after="120"/>
      </w:pPr>
      <w:r>
        <w:t xml:space="preserve">Refresca la página. Verifica que el sistema de correo/base de datos esté operativo (ver Manual Técnico).</w:t>
      </w:r>
    </w:p>
    <w:p>
      <w:pPr>
        <w:spacing w:before="180" w:after="60"/>
      </w:pPr>
      <w:r>
        <w:rPr>
          <w:b/>
          <w:color w:val="283593"/>
          <w:sz w:val="24"/>
        </w:rPr>
        <w:t xml:space="preserve">Los cambios de contenido no se ven en el sitio</w:t>
      </w:r>
    </w:p>
    <w:p>
      <w:pPr>
        <w:jc w:val="both"/>
        <w:spacing w:after="120"/>
      </w:pPr>
      <w:r>
        <w:t xml:space="preserve">Refresca la página pública (Ctrl+F5).</w:t>
      </w:r>
    </w:p>
    <w:p>
      <w:pPr>
        <w:jc w:val="center"/>
        <w:spacing w:before="360"/>
        <w:pBdr>
          <w:top w:val="single" w:sz="4" w:space="6" w:color="E2E8F0"/>
        </w:pBdr>
      </w:pPr>
      <w:r>
        <w:rPr>
          <w:i/>
          <w:color w:val="64748B"/>
          <w:sz w:val="18"/>
        </w:rPr>
        <w:t xml:space="preserve">ARH Consultores — Canal Ético de Denuncias · Manual del Administrador · Versión 1.0 · 2026 · Confidencial</w:t>
      </w:r>
    </w:p>
    <w:sectPr>
      <w:pgSz w:w="11906" w:h="16838"/>
      <w:pgMar w:top="1134" w:right="1021" w:bottom="1134" w:left="102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color w:val="1E293B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Manual del Administrador - Canal de Denuncias ARH</dc:title>
  <dc:creator>ARH Consultores</dc:creator>
  <dc:subject>Canal Etico de Denuncias</dc:subject>
</cp:coreProperties>
</file>