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TP6 — ESTRATEGIA DE PRECIOS</w:t>
      </w:r>
    </w:p>
    <w:p>
      <w:pPr>
        <w:jc w:val="center"/>
      </w:pPr>
      <w:r>
        <w:rPr>
          <w:rFonts w:ascii="Arial" w:hAnsi="Arial"/>
          <w:b/>
          <w:sz w:val="26"/>
        </w:rPr>
        <w:t>VOLTRA · Barritas de entrenamiento</w:t>
      </w:r>
    </w:p>
    <w:p>
      <w:pPr>
        <w:jc w:val="center"/>
      </w:pPr>
      <w:r>
        <w:rPr>
          <w:rFonts w:ascii="Arial" w:hAnsi="Arial"/>
          <w:sz w:val="21"/>
        </w:rPr>
        <w:t>eCommerce · UCEMA</w:t>
      </w:r>
    </w:p>
    <w:p>
      <w:r>
        <w:rPr>
          <w:rFonts w:ascii="Arial" w:hAnsi="Arial"/>
          <w:b/>
        </w:rPr>
        <w:t xml:space="preserve">Modelos de pricing elegidos: </w:t>
      </w:r>
      <w:r>
        <w:rPr>
          <w:rFonts w:ascii="Arial" w:hAnsi="Arial"/>
        </w:rPr>
        <w:t>Bundling y Programa de Fidelización por Puntos.</w:t>
      </w:r>
    </w:p>
    <w:p>
      <w:pPr>
        <w:pStyle w:val="Heading1"/>
      </w:pPr>
      <w:r>
        <w:rPr>
          <w:rFonts w:ascii="Arial" w:hAnsi="Arial"/>
        </w:rPr>
        <w:t>1. Objetivos de la estrategia de pricing</w:t>
      </w:r>
    </w:p>
    <w:p>
      <w:r>
        <w:rPr>
          <w:rFonts w:ascii="Arial" w:hAnsi="Arial"/>
        </w:rPr>
      </w:r>
      <w:r>
        <w:rPr>
          <w:rFonts w:ascii="Arial" w:hAnsi="Arial"/>
        </w:rPr>
        <w:t>Los objetivos se establecen para el corto y el mediano plazo, procurando equilibrar rentabilidad, competitividad, captación de clientes y percepción de valor.</w:t>
      </w:r>
    </w:p>
    <w:p>
      <w:pPr>
        <w:pStyle w:val="Heading2"/>
      </w:pPr>
      <w:r>
        <w:rPr>
          <w:rFonts w:ascii="Arial" w:hAnsi="Arial"/>
        </w:rPr>
      </w:r>
      <w:r>
        <w:rPr>
          <w:rFonts w:ascii="Arial" w:hAnsi="Arial"/>
          <w:b/>
        </w:rPr>
      </w:r>
      <w:r>
        <w:rPr>
          <w:rFonts w:ascii="Arial" w:hAnsi="Arial" w:cs="Arial"/>
        </w:rPr>
        <w:t>● Corto plazo — 0 a 6 meses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 w:cs="Arial"/>
        </w:rPr>
        <w:t>○ Validar el precio de lanzamiento, tomando como referencia inicial $11.000 para la caja x4, y evaluar su relación entre conversión y margen.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 w:cs="Arial"/>
        </w:rPr>
        <w:t>○ Facilitar la prueba del producto y captar nuevos clientes, sin posicionar a VOLTRA como una marca de bajo precio.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 w:cs="Arial"/>
        </w:rPr>
        <w:t>○ Alcanzar el punto de equilibrio, estimado en aproximadamente 216 cajas mensuales considerando marketing.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 w:cs="Arial"/>
        </w:rPr>
        <w:t>○ Incorporar el bundling desde el lanzamiento, presentando la caja x4 y los packs x8 y x12 como alternativas de compra.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 w:cs="Arial"/>
        </w:rPr>
        <w:t>○ Construir una base de clientes recurrentes mediante un programa de puntos desde la primera compra.</w:t>
      </w:r>
    </w:p>
    <w:p>
      <w:pPr>
        <w:pStyle w:val="Heading2"/>
      </w:pPr>
      <w:r>
        <w:rPr>
          <w:rFonts w:ascii="Arial" w:hAnsi="Arial"/>
        </w:rPr>
      </w:r>
      <w:r>
        <w:rPr>
          <w:rFonts w:ascii="Arial" w:hAnsi="Arial"/>
          <w:b/>
        </w:rPr>
      </w:r>
      <w:r>
        <w:rPr>
          <w:rFonts w:ascii="Arial" w:hAnsi="Arial" w:cs="Arial"/>
        </w:rPr>
        <w:t>● Mediano plazo — 6 a 18 meses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 w:cs="Arial"/>
        </w:rPr>
        <w:t>○ Aumentar el ticket promedio, promoviendo progresivamente la venta de packs x8 y x12.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 w:cs="Arial"/>
        </w:rPr>
        <w:t>○ Incrementar la frecuencia de recompra mediante el programa de fidelización.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 w:cs="Arial"/>
        </w:rPr>
        <w:t>○ Preservar los márgenes frente a la inflación y el incremento de costos mediante una revisión periódica de los precios.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 w:cs="Arial"/>
        </w:rPr>
        <w:t>○ Incrementar el valor de vida del cliente (LTV), favoreciendo la permanencia y recurrencia de los consumidores.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 w:cs="Arial"/>
        </w:rPr>
        <w:t>○ Consolidar el posicionamiento de VOLTRA como una marca de barritas funcionales, compitiendo a partir del valor de la propuesta y no exclusivamente del precio.</w:t>
      </w:r>
    </w:p>
    <w:p>
      <w:r>
        <w:rPr>
          <w:rFonts w:ascii="Arial" w:hAnsi="Arial"/>
          <w:b/>
        </w:rPr>
        <w:t xml:space="preserve">Dato del TP4: </w:t>
      </w:r>
      <w:r>
        <w:rPr>
          <w:rFonts w:ascii="Arial" w:hAnsi="Arial"/>
        </w:rPr>
        <w:t>a $11.000, la caja x4 genera aproximadamente $3.433 de margen después de marketing y el punto de equilibrio estimado es de 216 cajas mensuales.</w:t>
      </w:r>
    </w:p>
    <w:p>
      <w:pPr>
        <w:pStyle w:val="Heading1"/>
      </w:pPr>
      <w:r>
        <w:rPr>
          <w:rFonts w:ascii="Arial" w:hAnsi="Arial"/>
        </w:rPr>
        <w:t>2. Integración de política, estrategias y tácticas</w:t>
      </w:r>
    </w:p>
    <w:p>
      <w:r>
        <w:rPr>
          <w:rFonts w:ascii="Arial" w:hAnsi="Arial"/>
        </w:rPr>
      </w:r>
      <w:r>
        <w:rPr>
          <w:rFonts w:ascii="Arial" w:hAnsi="Arial"/>
        </w:rPr>
        <w:t>La estrategia de pricing de VOLTRA se organizará en tres niveles: política, estrategias y tácticas de precios. La política establece el marco general; las estrategias determinan el enfoque competitivo; y las tácticas permiten su implementación concreta.</w:t>
      </w:r>
    </w:p>
    <w:p>
      <w:pPr>
        <w:pStyle w:val="Heading2"/>
      </w:pPr>
      <w:r>
        <w:rPr>
          <w:rFonts w:ascii="Arial" w:hAnsi="Arial"/>
        </w:rPr>
      </w:r>
      <w:r>
        <w:rPr>
          <w:rFonts w:ascii="Arial" w:hAnsi="Arial"/>
          <w:b/>
        </w:rPr>
      </w:r>
      <w:r>
        <w:rPr>
          <w:rFonts w:ascii="Arial" w:hAnsi="Arial" w:cs="Arial"/>
        </w:rPr>
        <w:t>● Política de precios</w:t>
      </w:r>
    </w:p>
    <w:p>
      <w:r>
        <w:rPr>
          <w:rFonts w:ascii="Arial" w:hAnsi="Arial"/>
          <w:i/>
        </w:rPr>
        <w:t>VOLTRA utilizará una política de precios basada en el valor percibido, buscando un posicionamiento medio/premium accesible. El precio deberá cubrir los costos variables, contribuir a cubrir los costos fijos y permitir un margen suficiente para sostener el crecimiento del negocio.</w:t>
      </w:r>
    </w:p>
    <w:p>
      <w:pPr>
        <w:pStyle w:val="Heading2"/>
      </w:pPr>
      <w:r>
        <w:rPr>
          <w:rFonts w:ascii="Arial" w:hAnsi="Arial"/>
        </w:rPr>
      </w:r>
      <w:r>
        <w:rPr>
          <w:rFonts w:ascii="Arial" w:hAnsi="Arial"/>
          <w:b/>
        </w:rPr>
      </w:r>
      <w:r>
        <w:rPr>
          <w:rFonts w:ascii="Arial" w:hAnsi="Arial" w:cs="Arial"/>
        </w:rPr>
        <w:t>● Estrategia 1 — Bundling</w:t>
      </w:r>
    </w:p>
    <w:p>
      <w:pPr>
        <w:pStyle w:val="Heading3"/>
      </w:pPr>
      <w:r>
        <w:rPr>
          <w:rFonts w:ascii="Arial" w:hAnsi="Arial"/>
        </w:rPr>
      </w:r>
      <w:r>
        <w:rPr>
          <w:rFonts w:ascii="Arial" w:hAnsi="Arial"/>
          <w:b/>
        </w:rPr>
      </w:r>
      <w:r>
        <w:rPr>
          <w:rFonts w:ascii="Arial" w:hAnsi="Arial" w:cs="Arial"/>
        </w:rPr>
        <w:t>● Política</w:t>
      </w:r>
    </w:p>
    <w:p>
      <w:r>
        <w:rPr>
          <w:rFonts w:ascii="Arial" w:hAnsi="Arial"/>
        </w:rPr>
        <w:t>VOLTRA no buscará competir principalmente por el precio de una barrita individual, sino por el valor del conjunto. La caja x4 combina IGNITE, BUILD, HYDRO y JOY, mientras que los packs x8 y x12 extienden esta lógica con un beneficio por volumen.</w:t>
      </w:r>
    </w:p>
    <w:p>
      <w:pPr>
        <w:pStyle w:val="Heading3"/>
      </w:pPr>
      <w:r>
        <w:rPr>
          <w:rFonts w:ascii="Arial" w:hAnsi="Arial"/>
        </w:rPr>
      </w:r>
      <w:r>
        <w:rPr>
          <w:rFonts w:ascii="Arial" w:hAnsi="Arial"/>
          <w:b/>
        </w:rPr>
      </w:r>
      <w:r>
        <w:rPr>
          <w:rFonts w:ascii="Arial" w:hAnsi="Arial" w:cs="Arial"/>
        </w:rPr>
        <w:t>● Estrategia</w:t>
      </w:r>
    </w:p>
    <w:p>
      <w:r>
        <w:rPr>
          <w:rFonts w:ascii="Arial" w:hAnsi="Arial"/>
        </w:rPr>
        <w:t>El consumidor podrá elegir entre Caja x4 → Pack x8 → Pack x12. A medida que aumenta la cantidad, mejora el precio por unidad. El objetivo es aumentar el ticket promedio y aprovechar mejor los costos logísticos.</w:t>
      </w:r>
    </w:p>
    <w:p>
      <w:pPr>
        <w:pStyle w:val="Heading3"/>
      </w:pPr>
      <w:r>
        <w:rPr>
          <w:rFonts w:ascii="Arial" w:hAnsi="Arial"/>
        </w:rPr>
      </w:r>
      <w:r>
        <w:rPr>
          <w:rFonts w:ascii="Arial" w:hAnsi="Arial"/>
          <w:b/>
        </w:rPr>
      </w:r>
      <w:r>
        <w:rPr>
          <w:rFonts w:ascii="Arial" w:hAnsi="Arial" w:cs="Arial"/>
        </w:rPr>
        <w:t>● Tácticas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 w:cs="Arial"/>
        </w:rPr>
        <w:t>○ Ancla de precio: mostrar cuánto costaría comprar las cajas por separado y compararlo con el precio del pack.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 w:cs="Arial"/>
        </w:rPr>
        <w:t>○ Upselling en el checkout: mostrar el ahorro por pasar de x4 a x8 o x12. El upselling funciona como táctica del Bundling, no como una estrategia adicional.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 w:cs="Arial"/>
        </w:rPr>
        <w:t>○ Envío bonificado: ofrecer envío gratis o bonificado a partir de determinado monto para incentivar pedidos de mayor tamaño.</w:t>
      </w:r>
    </w:p>
    <w:p>
      <w:pPr>
        <w:pStyle w:val="Heading2"/>
      </w:pPr>
      <w:r>
        <w:rPr>
          <w:rFonts w:ascii="Arial" w:hAnsi="Arial"/>
        </w:rPr>
      </w:r>
      <w:r>
        <w:rPr>
          <w:rFonts w:ascii="Arial" w:hAnsi="Arial"/>
          <w:b/>
        </w:rPr>
      </w:r>
      <w:r>
        <w:rPr>
          <w:rFonts w:ascii="Arial" w:hAnsi="Arial" w:cs="Arial"/>
        </w:rPr>
        <w:t>● Estrategia 2 — Programa de Fidelización por Puntos</w:t>
      </w:r>
    </w:p>
    <w:p>
      <w:pPr>
        <w:pStyle w:val="Heading3"/>
      </w:pPr>
      <w:r>
        <w:rPr>
          <w:rFonts w:ascii="Arial" w:hAnsi="Arial"/>
        </w:rPr>
      </w:r>
      <w:r>
        <w:rPr>
          <w:rFonts w:ascii="Arial" w:hAnsi="Arial"/>
          <w:b/>
        </w:rPr>
      </w:r>
      <w:r>
        <w:rPr>
          <w:rFonts w:ascii="Arial" w:hAnsi="Arial" w:cs="Arial"/>
        </w:rPr>
        <w:t>● Política</w:t>
      </w:r>
    </w:p>
    <w:p>
      <w:r>
        <w:rPr>
          <w:rFonts w:ascii="Arial" w:hAnsi="Arial"/>
        </w:rPr>
      </w:r>
      <w:r>
        <w:rPr>
          <w:rFonts w:ascii="Arial" w:hAnsi="Arial"/>
        </w:rPr>
        <w:t>La recompra no se incentivará mediante reducciones permanentes del precio de lista. En cambio, VOLTRA otorgará beneficios posteriores a la compra, preservando el precio de referencia y generando incentivos para futuras adquisiciones.</w:t>
      </w:r>
    </w:p>
    <w:p>
      <w:pPr>
        <w:pStyle w:val="Heading3"/>
      </w:pPr>
      <w:r>
        <w:rPr>
          <w:rFonts w:ascii="Arial" w:hAnsi="Arial"/>
        </w:rPr>
      </w:r>
      <w:r>
        <w:rPr>
          <w:rFonts w:ascii="Arial" w:hAnsi="Arial"/>
          <w:b/>
        </w:rPr>
      </w:r>
      <w:r>
        <w:rPr>
          <w:rFonts w:ascii="Arial" w:hAnsi="Arial" w:cs="Arial"/>
        </w:rPr>
        <w:t>● Estrategia</w:t>
      </w:r>
    </w:p>
    <w:p>
      <w:r>
        <w:rPr>
          <w:rFonts w:ascii="Arial" w:hAnsi="Arial"/>
        </w:rPr>
        <w:t>Cada compra generará puntos que podrán utilizarse posteriormente para obtener beneficios, como descuentos, upgrades a packs x8 o x12, productos gratuitos o acceso anticipado a nuevas variedades. La lógica es aumentar el valor de vida del cliente (LTV), y no competir mediante descuentos en cada transacción.</w:t>
      </w:r>
    </w:p>
    <w:p>
      <w:pPr>
        <w:pStyle w:val="Heading3"/>
      </w:pPr>
      <w:r>
        <w:rPr>
          <w:rFonts w:ascii="Arial" w:hAnsi="Arial"/>
        </w:rPr>
      </w:r>
      <w:r>
        <w:rPr>
          <w:rFonts w:ascii="Arial" w:hAnsi="Arial"/>
          <w:b/>
        </w:rPr>
      </w:r>
      <w:r>
        <w:rPr>
          <w:rFonts w:ascii="Arial" w:hAnsi="Arial" w:cs="Arial"/>
        </w:rPr>
        <w:t>● Tácticas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 w:cs="Arial"/>
        </w:rPr>
        <w:t>○ Acumulación simple: cada compra suma puntos de manera clara y fácil de entender.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 w:cs="Arial"/>
        </w:rPr>
        <w:t>○ Beneficios progresivos: establecer beneficios adicionales a medida que aumenta la cantidad de compras.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 w:cs="Arial"/>
        </w:rPr>
        <w:t>○ Puntos vinculados al Bundling: permitir que los puntos puedan utilizarse para obtener beneficios específicamente asociados a packs x8 y x12.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 w:cs="Arial"/>
        </w:rPr>
        <w:t>○ Comunicación postventa: mantener el vínculo con contenido relacionado con las variedades compradas y recordatorios de recompra.</w:t>
      </w:r>
    </w:p>
    <w:p>
      <w:pPr>
        <w:pStyle w:val="Heading1"/>
      </w:pPr>
      <w:r>
        <w:rPr>
          <w:rFonts w:ascii="Arial" w:hAnsi="Arial"/>
        </w:rPr>
        <w:t>3. Ejemplos aplicados a los productos de VOLTRA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</w:rPr>
              <w:t>Situación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</w:rPr>
              <w:t>Bundling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</w:rPr>
              <w:t>Fidelización por puntos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</w:rPr>
              <w:t>Primera compra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</w:rPr>
              <w:t>Caja x4 con IGNITE + BUILD + HYDRO + JOY como puerta de entrada.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</w:rPr>
              <w:t>La compra genera los primeros puntos y el cliente queda incorporado al programa.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</w:rPr>
              <w:t>Cliente que vuelve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</w:rPr>
              <w:t>Se muestra el Pack x8 como alternativa más conveniente, comunicando el ahorro frente a comprar dos cajas x4.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</w:rPr>
              <w:t>Puede utilizar puntos acumulados para obtener un beneficio en el nuevo pedido.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Arial" w:hAnsi="Arial"/>
              </w:rPr>
              <w:t>Cliente recurrente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</w:rPr>
              <w:t>Se incentiva el Pack x12 mediante un mayor ahorro por unidad y envío bonificado.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</w:rPr>
              <w:t>Accede a beneficios exclusivos, como una caja gratis, un upgrade o acceso anticipado a una nueva variedad.</w:t>
            </w:r>
          </w:p>
        </w:tc>
      </w:tr>
    </w:tbl>
    <w:p>
      <w:pPr>
        <w:pStyle w:val="Heading2"/>
      </w:pPr>
      <w:r>
        <w:rPr>
          <w:rFonts w:ascii="Arial" w:hAnsi="Arial"/>
        </w:rPr>
      </w:r>
      <w:r>
        <w:rPr>
          <w:rFonts w:ascii="Arial" w:hAnsi="Arial"/>
          <w:b/>
        </w:rPr>
      </w:r>
      <w:r>
        <w:rPr>
          <w:rFonts w:ascii="Arial" w:hAnsi="Arial" w:cs="Arial"/>
        </w:rPr>
        <w:t>● Ejemplo de experiencia en la tienda online</w:t>
      </w:r>
    </w:p>
    <w:p>
      <w:r>
        <w:rPr>
          <w:rFonts w:ascii="Arial" w:hAnsi="Arial"/>
          <w:b/>
        </w:rPr>
        <w:t>CAJA x4 — $10.999</w:t>
      </w:r>
      <w:r>
        <w:rPr>
          <w:rFonts w:ascii="Arial" w:hAnsi="Arial"/>
        </w:rPr>
        <w:br/>
        <w:t>IGNITE + BUILD + HYDRO + JOY</w:t>
      </w:r>
    </w:p>
    <w:p>
      <w:r>
        <w:rPr>
          <w:rFonts w:ascii="Arial" w:hAnsi="Arial"/>
          <w:b/>
        </w:rPr>
        <w:t xml:space="preserve"> MÁS CONVENIENTE — PACK x8</w:t>
      </w:r>
      <w:r>
        <w:rPr>
          <w:rFonts w:ascii="Arial" w:hAnsi="Arial"/>
        </w:rPr>
        <w:br/>
        <w:t>Mayor cantidad + ahorro frente a comprar dos cajas x4</w:t>
      </w:r>
    </w:p>
    <w:p>
      <w:r>
        <w:rPr>
          <w:rFonts w:ascii="Arial" w:hAnsi="Arial"/>
          <w:b/>
        </w:rPr>
        <w:t xml:space="preserve"> MEJOR VALOR — PACK x12</w:t>
      </w:r>
      <w:r>
        <w:rPr>
          <w:rFonts w:ascii="Arial" w:hAnsi="Arial"/>
        </w:rPr>
        <w:br/>
        <w:t>Mayor ahorro por unidad + envío bonificado</w:t>
      </w:r>
    </w:p>
    <w:p>
      <w:r>
        <w:rPr>
          <w:rFonts w:ascii="Arial" w:hAnsi="Arial"/>
          <w:b/>
        </w:rPr>
        <w:t xml:space="preserve">Después de la compra: </w:t>
      </w:r>
      <w:r>
        <w:rPr>
          <w:rFonts w:ascii="Arial" w:hAnsi="Arial"/>
        </w:rPr>
        <w:t>“¡Sumaste 1 punto VOLTRA! Te faltan 2 puntos para desbloquear un beneficio en tu próximo pack.”</w:t>
      </w:r>
    </w:p>
    <w:p>
      <w:pPr>
        <w:pStyle w:val="Heading1"/>
      </w:pPr>
      <w:r>
        <w:rPr>
          <w:rFonts w:ascii="Arial" w:hAnsi="Arial"/>
        </w:rPr>
        <w:t>Conclusión</w:t>
      </w:r>
    </w:p>
    <w:p>
      <w:r>
        <w:rPr>
          <w:rFonts w:ascii="Arial" w:hAnsi="Arial"/>
        </w:rPr>
      </w:r>
      <w:r>
        <w:rPr>
          <w:rFonts w:ascii="Arial" w:hAnsi="Arial"/>
        </w:rPr>
        <w:t>Las dos estrategias cumplen funciones complementarias: el Bundling busca incrementar el valor de cada transacción, mientras que el programa de fidelización procura aumentar la frecuencia de compra a lo largo del tiempo. De esta manera, VOLTRA puede fortalecer el ticket promedio y el valor de vida de sus clientes, manteniendo un precio de referencia coherente con su posicionamiento.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