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lineRule="auto"/>
        <w:jc w:val="center"/>
      </w:pPr>
      <w:r>
        <w:rPr>
          <w:rFonts w:ascii="Calibri" w:cs="Calibri" w:eastAsia="Calibri" w:hAnsi="Calibri"/>
          <w:b/>
          <w:bCs/>
          <w:sz w:val="22"/>
          <w:szCs w:val="22"/>
        </w:rPr>
        <w:t xml:space="preserve">Informe Comparativo: Startup Digital vs. Empresa Tradicional</w:t>
      </w:r>
    </w:p>
    <w:p>
      <w:pPr>
        <w:spacing w:before="0" w:after="0" w:line="480" w:lineRule="auto"/>
        <w:jc w:val="center"/>
      </w:pPr>
      <w:r>
        <w:rPr>
          <w:rFonts w:ascii="Calibri" w:cs="Calibri" w:eastAsia="Calibri" w:hAnsi="Calibri"/>
          <w:b/>
          <w:bCs/>
          <w:sz w:val="22"/>
          <w:szCs w:val="22"/>
        </w:rPr>
        <w:t xml:space="preserve">Plataforma Web E-Commerce "Mieles Los Primos" — Miel del Impenetrable</w:t>
      </w:r>
    </w:p>
    <w:p>
      <w:pPr>
        <w:spacing w:before="0" w:after="0" w:line="480" w:lineRule="auto"/>
        <w:jc w:val="center"/>
      </w:pPr>
    </w:p>
    <w:p>
      <w:pPr>
        <w:spacing w:before="0" w:after="0" w:line="480" w:lineRule="auto"/>
        <w:jc w:val="center"/>
      </w:pPr>
      <w:r>
        <w:rPr>
          <w:rFonts w:ascii="Calibri" w:cs="Calibri" w:eastAsia="Calibri" w:hAnsi="Calibri"/>
          <w:sz w:val="22"/>
          <w:szCs w:val="22"/>
        </w:rPr>
        <w:t xml:space="preserve">Autora:</w:t>
      </w:r>
      <w:r>
        <w:rPr>
          <w:rFonts w:ascii="Calibri" w:cs="Calibri" w:eastAsia="Calibri" w:hAnsi="Calibri"/>
          <w:sz w:val="22"/>
          <w:szCs w:val="22"/>
        </w:rPr>
        <w:t xml:space="preserve"> Molina Juana</w:t>
      </w:r>
    </w:p>
    <w:p>
      <w:pPr>
        <w:spacing w:before="0" w:after="0" w:line="480" w:lineRule="auto"/>
        <w:jc w:val="center"/>
      </w:pPr>
      <w:r>
        <w:rPr>
          <w:rFonts w:ascii="Calibri" w:cs="Calibri" w:eastAsia="Calibri" w:hAnsi="Calibri"/>
          <w:sz w:val="22"/>
          <w:szCs w:val="22"/>
        </w:rPr>
        <w:t xml:space="preserve">IES "René Favaloro" — Tecnicatura Superior en Desarrollo de Software</w:t>
      </w:r>
    </w:p>
    <w:p>
      <w:pPr>
        <w:spacing w:before="0" w:after="0" w:line="480" w:lineRule="auto"/>
        <w:jc w:val="center"/>
      </w:pPr>
      <w:r>
        <w:rPr>
          <w:rFonts w:ascii="Calibri" w:cs="Calibri" w:eastAsia="Calibri" w:hAnsi="Calibri"/>
          <w:sz w:val="22"/>
          <w:szCs w:val="22"/>
        </w:rPr>
        <w:t xml:space="preserve">Espacio curricular:</w:t>
      </w:r>
      <w:r>
        <w:rPr>
          <w:rFonts w:ascii="Calibri" w:cs="Calibri" w:eastAsia="Calibri" w:hAnsi="Calibri"/>
          <w:sz w:val="22"/>
          <w:szCs w:val="22"/>
        </w:rPr>
        <w:t xml:space="preserve"> El Emprendedor Digital y el Contexto</w:t>
      </w:r>
    </w:p>
    <w:p>
      <w:pPr>
        <w:spacing w:before="0" w:after="0" w:line="480" w:lineRule="auto"/>
        <w:jc w:val="center"/>
      </w:pPr>
      <w:r>
        <w:rPr>
          <w:rFonts w:ascii="Calibri" w:cs="Calibri" w:eastAsia="Calibri" w:hAnsi="Calibri"/>
          <w:sz w:val="22"/>
          <w:szCs w:val="22"/>
        </w:rPr>
        <w:t xml:space="preserve">Docente:</w:t>
      </w:r>
      <w:r>
        <w:rPr>
          <w:rFonts w:ascii="Calibri" w:cs="Calibri" w:eastAsia="Calibri" w:hAnsi="Calibri"/>
          <w:sz w:val="22"/>
          <w:szCs w:val="22"/>
        </w:rPr>
        <w:t xml:space="preserve"> Prof. Erick Gastón Ibáñez</w:t>
      </w:r>
    </w:p>
    <w:p>
      <w:pPr>
        <w:spacing w:before="0" w:after="0" w:line="480" w:lineRule="auto"/>
        <w:jc w:val="center"/>
      </w:pPr>
      <w:r>
        <w:rPr>
          <w:rFonts w:ascii="Calibri" w:cs="Calibri" w:eastAsia="Calibri" w:hAnsi="Calibri"/>
          <w:sz w:val="22"/>
          <w:szCs w:val="22"/>
        </w:rPr>
        <w:t xml:space="preserve">Fecha:</w:t>
      </w:r>
      <w:r>
        <w:rPr>
          <w:rFonts w:ascii="Calibri" w:cs="Calibri" w:eastAsia="Calibri" w:hAnsi="Calibri"/>
          <w:sz w:val="22"/>
          <w:szCs w:val="22"/>
        </w:rPr>
        <w:t xml:space="preserve"> Septiembre de 2026</w:t>
      </w:r>
    </w:p>
    <w:p>
      <w:r>
        <w:br w:type="page"/>
      </w:r>
    </w:p>
    <w:p>
      <w:pPr>
        <w:spacing w:before="0" w:after="0" w:line="480" w:lineRule="auto"/>
        <w:jc w:val="center"/>
      </w:pPr>
      <w:r>
        <w:rPr>
          <w:rFonts w:ascii="Calibri" w:cs="Calibri" w:eastAsia="Calibri" w:hAnsi="Calibri"/>
          <w:b/>
          <w:bCs/>
          <w:sz w:val="22"/>
          <w:szCs w:val="22"/>
        </w:rPr>
        <w:t xml:space="preserve">Informe Comparativo: Startup Digital vs. Empresa Tradicional</w:t>
      </w:r>
    </w:p>
    <w:p>
      <w:pPr>
        <w:pStyle w:val="Heading2"/>
        <w:keepNext/>
        <w:spacing w:before="0" w:after="0" w:line="480" w:lineRule="auto"/>
        <w:jc w:val="center"/>
      </w:pPr>
      <w:r>
        <w:rPr>
          <w:rFonts w:ascii="Calibri" w:cs="Calibri" w:eastAsia="Calibri" w:hAnsi="Calibri"/>
          <w:b/>
          <w:bCs/>
          <w:sz w:val="22"/>
          <w:szCs w:val="22"/>
        </w:rPr>
        <w:t xml:space="preserve">Introducción</w:t>
      </w:r>
    </w:p>
    <w:p>
      <w:pPr>
        <w:spacing w:before="0" w:after="0" w:line="480" w:lineRule="auto"/>
        <w:ind w:firstLine="720"/>
        <w:jc w:val="left"/>
      </w:pPr>
      <w:r>
        <w:rPr>
          <w:rFonts w:ascii="Calibri" w:cs="Calibri" w:eastAsia="Calibri" w:hAnsi="Calibri"/>
          <w:sz w:val="22"/>
          <w:szCs w:val="22"/>
        </w:rPr>
        <w:t xml:space="preserve">Mieles "Los Primos" es un emprendimiento apícola familiar de Juan José Castelli que produce miel multifloral en el monte nativo del Impenetrable chaqueño, en el Paraje San Agustín. Hasta hoy funciona como un comercio tradicional: vende de forma presencial y toma pedidos por WhatsApp, que se coordinan uno por uno y se entregan en Castelli, Resistencia y localidades cercanas. El proyecto integrador propone transformar ese canal en una startup digital mediante una plataforma de comercio electrónico.</w:t>
      </w:r>
    </w:p>
    <w:p>
      <w:pPr>
        <w:spacing w:before="0" w:after="0" w:line="480" w:lineRule="auto"/>
        <w:ind w:firstLine="720"/>
        <w:jc w:val="left"/>
      </w:pPr>
      <w:r>
        <w:rPr>
          <w:rFonts w:ascii="Calibri" w:cs="Calibri" w:eastAsia="Calibri" w:hAnsi="Calibri"/>
          <w:sz w:val="22"/>
          <w:szCs w:val="22"/>
        </w:rPr>
        <w:t xml:space="preserve">Este ensayo contrasta ambos modelos en tres dimensiones: los </w:t>
      </w:r>
      <w:r>
        <w:rPr>
          <w:rFonts w:ascii="Calibri" w:cs="Calibri" w:eastAsia="Calibri" w:hAnsi="Calibri"/>
          <w:b/>
          <w:bCs/>
          <w:sz w:val="22"/>
          <w:szCs w:val="22"/>
        </w:rPr>
        <w:t xml:space="preserve">costos transaccionales</w:t>
      </w:r>
      <w:r>
        <w:rPr>
          <w:rFonts w:ascii="Calibri" w:cs="Calibri" w:eastAsia="Calibri" w:hAnsi="Calibri"/>
          <w:sz w:val="22"/>
          <w:szCs w:val="22"/>
        </w:rPr>
        <w:t xml:space="preserve">, la </w:t>
      </w:r>
      <w:r>
        <w:rPr>
          <w:rFonts w:ascii="Calibri" w:cs="Calibri" w:eastAsia="Calibri" w:hAnsi="Calibri"/>
          <w:b/>
          <w:bCs/>
          <w:sz w:val="22"/>
          <w:szCs w:val="22"/>
        </w:rPr>
        <w:t xml:space="preserve">logística operativa</w:t>
      </w:r>
      <w:r>
        <w:rPr>
          <w:rFonts w:ascii="Calibri" w:cs="Calibri" w:eastAsia="Calibri" w:hAnsi="Calibri"/>
          <w:sz w:val="22"/>
          <w:szCs w:val="22"/>
        </w:rPr>
        <w:t xml:space="preserve"> y la </w:t>
      </w:r>
      <w:r>
        <w:rPr>
          <w:rFonts w:ascii="Calibri" w:cs="Calibri" w:eastAsia="Calibri" w:hAnsi="Calibri"/>
          <w:b/>
          <w:bCs/>
          <w:sz w:val="22"/>
          <w:szCs w:val="22"/>
        </w:rPr>
        <w:t xml:space="preserve">flexibilidad estructural</w:t>
      </w:r>
      <w:r>
        <w:rPr>
          <w:rFonts w:ascii="Calibri" w:cs="Calibri" w:eastAsia="Calibri" w:hAnsi="Calibri"/>
          <w:sz w:val="22"/>
          <w:szCs w:val="22"/>
        </w:rPr>
        <w:t xml:space="preserve">. A partir de ese análisis, argumenta el beneficio de escalabilidad que aporta el software y evalúa, con datos y un cálculo propio, el impacto ambiental del cambio de modelo. Cabe aclarar desde el inicio que lo que se desmaterializa no es el producto, ya que la miel es un bien físico, sino el </w:t>
      </w:r>
      <w:r>
        <w:rPr>
          <w:rFonts w:ascii="Calibri" w:cs="Calibri" w:eastAsia="Calibri" w:hAnsi="Calibri"/>
          <w:b/>
          <w:bCs/>
          <w:sz w:val="22"/>
          <w:szCs w:val="22"/>
        </w:rPr>
        <w:t xml:space="preserve">canal comercial</w:t>
      </w:r>
      <w:r>
        <w:rPr>
          <w:rFonts w:ascii="Calibri" w:cs="Calibri" w:eastAsia="Calibri" w:hAnsi="Calibri"/>
          <w:sz w:val="22"/>
          <w:szCs w:val="22"/>
        </w:rPr>
        <w:t xml:space="preserve">: el mostrador, la lista de precios impresa y la coordinación manual de cada venta.</w:t>
      </w:r>
    </w:p>
    <w:p>
      <w:pPr>
        <w:pStyle w:val="Heading2"/>
        <w:keepNext/>
        <w:spacing w:before="0" w:after="0" w:line="480" w:lineRule="auto"/>
        <w:jc w:val="center"/>
      </w:pPr>
      <w:r>
        <w:rPr>
          <w:rFonts w:ascii="Calibri" w:cs="Calibri" w:eastAsia="Calibri" w:hAnsi="Calibri"/>
          <w:b/>
          <w:bCs/>
          <w:sz w:val="22"/>
          <w:szCs w:val="22"/>
        </w:rPr>
        <w:t xml:space="preserve">1. Costos transaccionales</w:t>
      </w:r>
    </w:p>
    <w:p>
      <w:pPr>
        <w:spacing w:before="0" w:after="0" w:line="480" w:lineRule="auto"/>
        <w:ind w:firstLine="720"/>
        <w:jc w:val="left"/>
      </w:pPr>
      <w:r>
        <w:rPr>
          <w:rFonts w:ascii="Calibri" w:cs="Calibri" w:eastAsia="Calibri" w:hAnsi="Calibri"/>
          <w:sz w:val="22"/>
          <w:szCs w:val="22"/>
        </w:rPr>
        <w:t xml:space="preserve">Los costos transaccionales son aquellos que no forman parte del producto en sí, sino del hecho de concretar un intercambio: buscar información, negociar, acordar condiciones, cobrar y controlar el cumplimiento. En el modelo actual, estos costos recaen casi por completo sobre el tiempo de la familia.</w:t>
      </w:r>
    </w:p>
    <w:p>
      <w:pPr>
        <w:spacing w:before="0" w:after="0" w:line="480" w:lineRule="auto"/>
        <w:ind w:firstLine="720"/>
        <w:jc w:val="left"/>
      </w:pPr>
      <w:r>
        <w:rPr>
          <w:rFonts w:ascii="Calibri" w:cs="Calibri" w:eastAsia="Calibri" w:hAnsi="Calibri"/>
          <w:sz w:val="22"/>
          <w:szCs w:val="22"/>
        </w:rPr>
        <w:t xml:space="preserve">Cada venta por WhatsApp implica una conversación que se repite con cada cliente: consultar qué hay disponible, informar precios y presentaciones, acordar la forma de pago, pedir la dirección y coordinar la entrega. Es un costo invisible, porque no figura en ninguna factura, pero consume horas que no se dedican a producir. Además, la información está dispersa en chats, lo que favorece errores en pedidos y cobros. En el caso de un local físico, a estos costos se sumarían otros fijos: alquiler, servicios, habilitaciones y una persona que atienda en horario comercial, se venda o no.</w:t>
      </w:r>
    </w:p>
    <w:p>
      <w:pPr>
        <w:spacing w:before="0" w:after="0" w:line="480" w:lineRule="auto"/>
        <w:ind w:firstLine="720"/>
        <w:jc w:val="left"/>
      </w:pPr>
      <w:r>
        <w:rPr>
          <w:rFonts w:ascii="Calibri" w:cs="Calibri" w:eastAsia="Calibri" w:hAnsi="Calibri"/>
          <w:sz w:val="22"/>
          <w:szCs w:val="22"/>
        </w:rPr>
        <w:t xml:space="preserve">En el modelo digital, la plataforma absorbe la mayor parte de esas tareas. El catálogo informa productos, presentaciones y precios de forma permanente; el checkout recolecta en un solo paso todos los datos del pedido; y Mercado Pago automatiza el cobro. El cambio central es de naturaleza económica: </w:t>
      </w:r>
      <w:r>
        <w:rPr>
          <w:rFonts w:ascii="Calibri" w:cs="Calibri" w:eastAsia="Calibri" w:hAnsi="Calibri"/>
          <w:b/>
          <w:bCs/>
          <w:sz w:val="22"/>
          <w:szCs w:val="22"/>
        </w:rPr>
        <w:t xml:space="preserve">los costos fijos se transforman en costos variables</w:t>
      </w:r>
      <w:r>
        <w:rPr>
          <w:rFonts w:ascii="Calibri" w:cs="Calibri" w:eastAsia="Calibri" w:hAnsi="Calibri"/>
          <w:sz w:val="22"/>
          <w:szCs w:val="22"/>
        </w:rPr>
        <w:t xml:space="preserve">. En lugar de pagar un local todos los meses, el emprendimiento paga un dominio anual y una comisión por cada venta concretada, es decir, solo cuando hay ingresos.</w:t>
      </w:r>
    </w:p>
    <w:p>
      <w:pPr>
        <w:keepNext/>
        <w:spacing w:before="0" w:after="0" w:line="480" w:lineRule="auto"/>
        <w:jc w:val="left"/>
      </w:pPr>
      <w:r>
        <w:rPr>
          <w:rFonts w:ascii="Calibri" w:cs="Calibri" w:eastAsia="Calibri" w:hAnsi="Calibri"/>
          <w:b/>
          <w:bCs/>
          <w:sz w:val="22"/>
          <w:szCs w:val="22"/>
        </w:rPr>
        <w:t xml:space="preserve">Tabla 1</w:t>
      </w:r>
    </w:p>
    <w:p>
      <w:pPr>
        <w:keepNext/>
        <w:spacing w:before="0" w:after="0" w:line="480" w:lineRule="auto"/>
        <w:jc w:val="left"/>
      </w:pPr>
      <w:r>
        <w:rPr>
          <w:rFonts w:ascii="Calibri" w:cs="Calibri" w:eastAsia="Calibri" w:hAnsi="Calibri"/>
          <w:i/>
          <w:iCs/>
          <w:sz w:val="22"/>
          <w:szCs w:val="22"/>
        </w:rPr>
        <w:t xml:space="preserve">Costos transaccionales en el comercio tradicional y en el e-commerce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Concepto</w:t>
            </w:r>
          </w:p>
        </w:tc>
        <w:tc>
          <w:tcPr>
            <w:tcW w:type="dxa" w:w="35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Comercio tradicional</w:t>
            </w:r>
          </w:p>
        </w:tc>
        <w:tc>
          <w:tcPr>
            <w:tcW w:type="dxa" w:w="35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E-commerce "Los Primos"</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Punto de venta</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Local físico: alquiler, servicios y habilitación mensuales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Sitio web: dominio .com.ar ($8.500 anuales) y hosting gratuito</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Información al cliente</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Consulta individual por WhatsApp o en persona</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Catálogo con precios visibles las 24 horas</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Toma del pedido</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Manual, dispersa en conversaciones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Formulario único con todos los datos necesarios</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Cobro</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Efectivo o transferencia, con control manual</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Mercado Pago: comisión solo por venta realizada</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Horario de atención</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Limitado al tiempo disponible de la familia</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Permanente, sin personal adicional</w:t>
            </w:r>
          </w:p>
        </w:tc>
      </w:tr>
      <w:tr>
        <w:trPr>
          <w:cantSplit/>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Naturaleza del costo</w:t>
            </w:r>
          </w:p>
        </w:tc>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Predominantemente fijo</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Predominantemente variable</w:t>
            </w:r>
          </w:p>
        </w:tc>
      </w:tr>
    </w:tbl>
    <w:p>
      <w:pPr>
        <w:spacing w:after="60" w:line="276"/>
        <w:jc w:val="both"/>
      </w:pPr>
    </w:p>
    <w:p>
      <w:pPr>
        <w:spacing w:before="0" w:after="0" w:line="480" w:lineRule="auto"/>
        <w:ind w:firstLine="720"/>
        <w:jc w:val="left"/>
      </w:pPr>
      <w:r>
        <w:rPr>
          <w:rFonts w:ascii="Calibri" w:cs="Calibri" w:eastAsia="Calibri" w:hAnsi="Calibri"/>
          <w:sz w:val="22"/>
          <w:szCs w:val="22"/>
        </w:rPr>
        <w:t xml:space="preserve">Los valores del cuadro provienen del presupuesto simulado del Acta de Constitución del Proyecto.</w:t>
      </w:r>
    </w:p>
    <w:p>
      <w:pPr>
        <w:pStyle w:val="Heading2"/>
        <w:keepNext/>
        <w:spacing w:before="0" w:after="0" w:line="480" w:lineRule="auto"/>
        <w:jc w:val="center"/>
      </w:pPr>
      <w:r>
        <w:rPr>
          <w:rFonts w:ascii="Calibri" w:cs="Calibri" w:eastAsia="Calibri" w:hAnsi="Calibri"/>
          <w:b/>
          <w:bCs/>
          <w:sz w:val="22"/>
          <w:szCs w:val="22"/>
        </w:rPr>
        <w:t xml:space="preserve">2. Logística operativa</w:t>
      </w:r>
    </w:p>
    <w:p>
      <w:pPr>
        <w:spacing w:before="0" w:after="0" w:line="480" w:lineRule="auto"/>
        <w:ind w:firstLine="720"/>
        <w:jc w:val="left"/>
      </w:pPr>
      <w:r>
        <w:rPr>
          <w:rFonts w:ascii="Calibri" w:cs="Calibri" w:eastAsia="Calibri" w:hAnsi="Calibri"/>
          <w:sz w:val="22"/>
          <w:szCs w:val="22"/>
        </w:rPr>
        <w:t xml:space="preserve">La logística es la dimensión en la que el cambio de modelo resulta más concreto para un emprendimiento del interior. En el esquema tradicional, los pedidos llegan de forma desordenada y cada uno tiende a generar su propio traslado. Como Juan José Castelli se encuentra a 261 km de Resistencia por la Ruta Provincial 9, cada viaje para entregar pedidos en la capital provincial representa un recorrido de ida y vuelta de 522 km, con su costo en combustible, tiempo y emisiones.</w:t>
      </w:r>
    </w:p>
    <w:p>
      <w:pPr>
        <w:spacing w:before="0" w:after="0" w:line="480" w:lineRule="auto"/>
        <w:ind w:firstLine="720"/>
        <w:jc w:val="left"/>
      </w:pPr>
      <w:r>
        <w:rPr>
          <w:rFonts w:ascii="Calibri" w:cs="Calibri" w:eastAsia="Calibri" w:hAnsi="Calibri"/>
          <w:sz w:val="22"/>
          <w:szCs w:val="22"/>
        </w:rPr>
        <w:t xml:space="preserve">El e-commerce no elimina el transporte, pero lo </w:t>
      </w:r>
      <w:r>
        <w:rPr>
          <w:rFonts w:ascii="Calibri" w:cs="Calibri" w:eastAsia="Calibri" w:hAnsi="Calibri"/>
          <w:b/>
          <w:bCs/>
          <w:sz w:val="22"/>
          <w:szCs w:val="22"/>
        </w:rPr>
        <w:t xml:space="preserve">ordena</w:t>
      </w:r>
      <w:r>
        <w:rPr>
          <w:rFonts w:ascii="Calibri" w:cs="Calibri" w:eastAsia="Calibri" w:hAnsi="Calibri"/>
          <w:sz w:val="22"/>
          <w:szCs w:val="22"/>
        </w:rPr>
        <w:t xml:space="preserve">. Al recibir los pedidos a través del sitio, con la dirección, la localidad y el código postal cargados desde el inicio, la familia puede agruparlos por zona y planificar entregas consolidadas en fechas fijas. El sitio ofrece además la opción de retiro, que evita el traslado en las ventas locales de Castelli, y el envío por correo para destinos nacionales, donde el paquete viaja junto con muchos otros en lugar de hacerlo en un vehículo propio. El resultado es un sistema de distribución por lotes planificados en lugar de uno reactivo.</w:t>
      </w:r>
    </w:p>
    <w:p>
      <w:pPr>
        <w:spacing w:before="0" w:after="0" w:line="480" w:lineRule="auto"/>
        <w:ind w:firstLine="720"/>
        <w:jc w:val="left"/>
      </w:pPr>
      <w:r>
        <w:rPr>
          <w:rFonts w:ascii="Calibri" w:cs="Calibri" w:eastAsia="Calibri" w:hAnsi="Calibri"/>
          <w:sz w:val="22"/>
          <w:szCs w:val="22"/>
        </w:rPr>
        <w:t xml:space="preserve">Esta conclusión coincide con la investigación reciente sobre el tema: un estudio publicado en 2026 sostiene que la sustentabilidad del comercio depende más de la eficiencia de la cadena de suministro que del canal elegido, y que la consolidación de envíos y la optimización de rutas son los factores que reducen las emisiones.</w:t>
      </w:r>
    </w:p>
    <w:p>
      <w:pPr>
        <w:pStyle w:val="Heading2"/>
        <w:keepNext/>
        <w:spacing w:before="0" w:after="0" w:line="480" w:lineRule="auto"/>
        <w:jc w:val="center"/>
      </w:pPr>
      <w:r>
        <w:rPr>
          <w:rFonts w:ascii="Calibri" w:cs="Calibri" w:eastAsia="Calibri" w:hAnsi="Calibri"/>
          <w:b/>
          <w:bCs/>
          <w:sz w:val="22"/>
          <w:szCs w:val="22"/>
        </w:rPr>
        <w:t xml:space="preserve">3. Flexibilidad estructural</w:t>
      </w:r>
    </w:p>
    <w:p>
      <w:pPr>
        <w:spacing w:before="0" w:after="0" w:line="480" w:lineRule="auto"/>
        <w:ind w:firstLine="720"/>
        <w:jc w:val="left"/>
      </w:pPr>
      <w:r>
        <w:rPr>
          <w:rFonts w:ascii="Calibri" w:cs="Calibri" w:eastAsia="Calibri" w:hAnsi="Calibri"/>
          <w:sz w:val="22"/>
          <w:szCs w:val="22"/>
        </w:rPr>
        <w:t xml:space="preserve">Una empresa tradicional tiene una estructura rígida: cambiar un precio implica reimprimir listas y avisar cliente por cliente; sumar un producto requiere espacio físico y material de exhibición; llegar a una nueva ciudad exige abrir otro punto de venta. En un contexto inflacionario como el argentino, la rigidez en la actualización de precios representa además una pérdida económica directa.</w:t>
      </w:r>
    </w:p>
    <w:p>
      <w:pPr>
        <w:spacing w:before="0" w:after="0" w:line="480" w:lineRule="auto"/>
        <w:ind w:firstLine="720"/>
        <w:jc w:val="left"/>
      </w:pPr>
      <w:r>
        <w:rPr>
          <w:rFonts w:ascii="Calibri" w:cs="Calibri" w:eastAsia="Calibri" w:hAnsi="Calibri"/>
          <w:sz w:val="22"/>
          <w:szCs w:val="22"/>
        </w:rPr>
        <w:t xml:space="preserve">La startup digital, en cambio, se apoya en una estructura modular. En la plataforma de "Los Primos", todo el catálogo se define en un único archivo de datos (productos.json): actualizar un precio o incorporar un nuevo producto, como la futura Miel Orgánica Certificada, consiste en modificar una entrada de ese archivo, sin rediseñar el sitio. A esto se suma la metodología de trabajo: el desarrollo por sprints permite incorporar funcionalidades de forma incremental, medir resultados y corregir el rumbo sin detener la operación, algo que un comercio tradicional difícilmente puede hacer.</w:t>
      </w:r>
    </w:p>
    <w:p>
      <w:pPr>
        <w:pStyle w:val="Heading2"/>
        <w:keepNext/>
        <w:spacing w:before="0" w:after="0" w:line="480" w:lineRule="auto"/>
        <w:jc w:val="center"/>
      </w:pPr>
      <w:r>
        <w:rPr>
          <w:rFonts w:ascii="Calibri" w:cs="Calibri" w:eastAsia="Calibri" w:hAnsi="Calibri"/>
          <w:b/>
          <w:bCs/>
          <w:sz w:val="22"/>
          <w:szCs w:val="22"/>
        </w:rPr>
        <w:t xml:space="preserve">4. Escalabilidad del software</w:t>
      </w:r>
    </w:p>
    <w:p>
      <w:pPr>
        <w:spacing w:before="0" w:after="0" w:line="480" w:lineRule="auto"/>
        <w:ind w:firstLine="720"/>
        <w:jc w:val="left"/>
      </w:pPr>
      <w:r>
        <w:rPr>
          <w:rFonts w:ascii="Calibri" w:cs="Calibri" w:eastAsia="Calibri" w:hAnsi="Calibri"/>
          <w:sz w:val="22"/>
          <w:szCs w:val="22"/>
        </w:rPr>
        <w:t xml:space="preserve">La diferencia más profunda entre ambos modelos es la forma en que crecen. En el comercio tradicional, el crecimiento es lineal: atender al doble de clientes requiere, aproximadamente, el doble de tiempo, personal o espacio. En el software, el </w:t>
      </w:r>
      <w:r>
        <w:rPr>
          <w:rFonts w:ascii="Calibri" w:cs="Calibri" w:eastAsia="Calibri" w:hAnsi="Calibri"/>
          <w:b/>
          <w:bCs/>
          <w:sz w:val="22"/>
          <w:szCs w:val="22"/>
        </w:rPr>
        <w:t xml:space="preserve">costo marginal</w:t>
      </w:r>
      <w:r>
        <w:rPr>
          <w:rFonts w:ascii="Calibri" w:cs="Calibri" w:eastAsia="Calibri" w:hAnsi="Calibri"/>
          <w:sz w:val="22"/>
          <w:szCs w:val="22"/>
        </w:rPr>
        <w:t xml:space="preserve"> de atender a un cliente adicional es prácticamente nulo: el catálogo cuesta lo mismo si lo visitan diez personas o diez mil, y el checkout procesa cada pedido sin intervención humana.</w:t>
      </w:r>
    </w:p>
    <w:p>
      <w:pPr>
        <w:spacing w:before="0" w:after="0" w:line="480" w:lineRule="auto"/>
        <w:ind w:firstLine="720"/>
        <w:jc w:val="left"/>
      </w:pPr>
      <w:r>
        <w:rPr>
          <w:rFonts w:ascii="Calibri" w:cs="Calibri" w:eastAsia="Calibri" w:hAnsi="Calibri"/>
          <w:sz w:val="22"/>
          <w:szCs w:val="22"/>
        </w:rPr>
        <w:t xml:space="preserve">Esto permite al emprendimiento ampliar su alcance geográfico sin abrir sucursales, siguiendo el modelo por fases definido en el Acta: primero la cobertura regional en el Chaco, luego la distribución nacional y, en una etapa futura, la exportación. Es importante, sin embargo, reconocer el límite de este argumento: el software escala, pero la producción de miel no. La capacidad de las colmenas, la floración de cada temporada y la logística física siguen siendo finitas. La escalabilidad digital no elimina esos límites, sino que traslada el cuello de botella desde la venta hacia la producción, lo que permite a la familia concentrar su tiempo en lo que genera valor.</w:t>
      </w:r>
    </w:p>
    <w:p>
      <w:pPr>
        <w:pStyle w:val="Heading2"/>
        <w:keepNext/>
        <w:spacing w:before="0" w:after="0" w:line="480" w:lineRule="auto"/>
        <w:jc w:val="center"/>
      </w:pPr>
      <w:r>
        <w:rPr>
          <w:rFonts w:ascii="Calibri" w:cs="Calibri" w:eastAsia="Calibri" w:hAnsi="Calibri"/>
          <w:b/>
          <w:bCs/>
          <w:sz w:val="22"/>
          <w:szCs w:val="22"/>
        </w:rPr>
        <w:t xml:space="preserve">5. Evaluación del impacto ambiental</w:t>
      </w:r>
    </w:p>
    <w:p>
      <w:pPr>
        <w:keepNext/>
        <w:spacing w:before="0" w:after="0" w:line="480" w:lineRule="auto"/>
        <w:jc w:val="left"/>
      </w:pPr>
      <w:r>
        <w:rPr>
          <w:rFonts w:ascii="Calibri" w:cs="Calibri" w:eastAsia="Calibri" w:hAnsi="Calibri"/>
          <w:b/>
          <w:bCs/>
          <w:sz w:val="22"/>
          <w:szCs w:val="22"/>
        </w:rPr>
        <w:t xml:space="preserve">5.1. Lo que dice la evidencia científica</w:t>
      </w:r>
    </w:p>
    <w:p>
      <w:pPr>
        <w:spacing w:before="0" w:after="0" w:line="480" w:lineRule="auto"/>
        <w:ind w:firstLine="720"/>
        <w:jc w:val="left"/>
      </w:pPr>
      <w:r>
        <w:rPr>
          <w:rFonts w:ascii="Calibri" w:cs="Calibri" w:eastAsia="Calibri" w:hAnsi="Calibri"/>
          <w:sz w:val="22"/>
          <w:szCs w:val="22"/>
        </w:rPr>
        <w:t xml:space="preserve">La literatura académica no ofrece una respuesta única, pero sí una tendencia clara. Una revisión publicada en 2023 en Business and Society Review concluye que, aunque los factores son específicos de cada contexto, la mayoría de los estudios considera al comercio electrónico más sustentable que la compra en tiendas físicas. Los factores que inclinan la balanza son los viajes de compra, la consolidación de pedidos, las devoluciones, los embalajes y el consumo energético de los edificios comerciales. Un estudio sobre la región de París, por ejemplo, identificó que la energía de las tiendas representa entre el 20 y el 30 % de sus emisiones, y cerca del 40 % en pequeños comercios de alimentos.</w:t>
      </w:r>
    </w:p>
    <w:p>
      <w:pPr>
        <w:spacing w:before="0" w:after="0" w:line="480" w:lineRule="auto"/>
        <w:ind w:firstLine="720"/>
        <w:jc w:val="left"/>
      </w:pPr>
      <w:r>
        <w:rPr>
          <w:rFonts w:ascii="Calibri" w:cs="Calibri" w:eastAsia="Calibri" w:hAnsi="Calibri"/>
          <w:sz w:val="22"/>
          <w:szCs w:val="22"/>
        </w:rPr>
        <w:t xml:space="preserve">La misma evidencia advierte las condiciones en las que la ventaja se pierde: los envíos fraccionados o urgentes y el exceso de embalaje. Según un análisis de Bain &amp; Company, dos artículos enviados por separado generan un 35 % más de emisiones que si viajaran juntos. Por lo tanto, el impacto positivo no es automático: depende de cómo se diseñe la operación.</w:t>
      </w:r>
    </w:p>
    <w:p>
      <w:pPr>
        <w:keepNext/>
        <w:spacing w:before="0" w:after="0" w:line="480" w:lineRule="auto"/>
        <w:jc w:val="left"/>
      </w:pPr>
      <w:r>
        <w:rPr>
          <w:rFonts w:ascii="Calibri" w:cs="Calibri" w:eastAsia="Calibri" w:hAnsi="Calibri"/>
          <w:b/>
          <w:bCs/>
          <w:sz w:val="22"/>
          <w:szCs w:val="22"/>
        </w:rPr>
        <w:t xml:space="preserve">5.2. Cálculo aplicado a "Los Primos"</w:t>
      </w:r>
    </w:p>
    <w:p>
      <w:pPr>
        <w:spacing w:before="0" w:after="0" w:line="480" w:lineRule="auto"/>
        <w:ind w:firstLine="720"/>
        <w:jc w:val="left"/>
      </w:pPr>
      <w:r>
        <w:rPr>
          <w:rFonts w:ascii="Calibri" w:cs="Calibri" w:eastAsia="Calibri" w:hAnsi="Calibri"/>
          <w:sz w:val="22"/>
          <w:szCs w:val="22"/>
        </w:rPr>
        <w:t xml:space="preserve">Para evaluar el caso concreto se modela la ruta Castelli–Resistencia con los siguientes supuestos:</w:t>
      </w:r>
    </w:p>
    <w:p>
      <w:pPr>
        <w:keepNext/>
        <w:spacing w:before="0" w:after="0" w:line="480" w:lineRule="auto"/>
        <w:jc w:val="left"/>
      </w:pPr>
      <w:r>
        <w:rPr>
          <w:rFonts w:ascii="Calibri" w:cs="Calibri" w:eastAsia="Calibri" w:hAnsi="Calibri"/>
          <w:b/>
          <w:bCs/>
          <w:sz w:val="22"/>
          <w:szCs w:val="22"/>
        </w:rPr>
        <w:t xml:space="preserve">Tabla 2</w:t>
      </w:r>
    </w:p>
    <w:p>
      <w:pPr>
        <w:keepNext/>
        <w:spacing w:before="0" w:after="0" w:line="480" w:lineRule="auto"/>
        <w:jc w:val="left"/>
      </w:pPr>
      <w:r>
        <w:rPr>
          <w:rFonts w:ascii="Calibri" w:cs="Calibri" w:eastAsia="Calibri" w:hAnsi="Calibri"/>
          <w:i/>
          <w:iCs/>
          <w:sz w:val="22"/>
          <w:szCs w:val="22"/>
        </w:rPr>
        <w:t xml:space="preserve">Supuestos del cálculo de emisiones de la ruta Castelli–Resistencia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Variable</w:t>
            </w:r>
          </w:p>
        </w:tc>
        <w:tc>
          <w:tcPr>
            <w:tcW w:type="dxa" w:w="48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Valor utilizado</w:t>
            </w:r>
          </w:p>
        </w:tc>
      </w:tr>
      <w:tr>
        <w:trPr>
          <w:cantSplit/>
        </w:trPr>
        <w:tc>
          <w:tcPr>
            <w:tcW w:type="dxa" w:w="4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Distancia de ida y vuelta Castelli–Resistencia</w:t>
            </w:r>
          </w:p>
        </w:tc>
        <w:tc>
          <w:tcPr>
            <w:tcW w:type="dxa" w:w="4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522 km (2 × 261 km)</w:t>
            </w:r>
          </w:p>
        </w:tc>
      </w:tr>
      <w:tr>
        <w:trPr>
          <w:cantSplit/>
        </w:trPr>
        <w:tc>
          <w:tcPr>
            <w:tcW w:type="dxa" w:w="4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Vehículo</w:t>
            </w:r>
          </w:p>
        </w:tc>
        <w:tc>
          <w:tcPr>
            <w:tcW w:type="dxa" w:w="4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Utilitario diésel, consumo de 10 L cada 100 km (supuesto)</w:t>
            </w:r>
          </w:p>
        </w:tc>
      </w:tr>
      <w:tr>
        <w:trPr>
          <w:cantSplit/>
        </w:trPr>
        <w:tc>
          <w:tcPr>
            <w:tcW w:type="dxa" w:w="4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Factor de emisión del gasoil</w:t>
            </w:r>
          </w:p>
        </w:tc>
        <w:tc>
          <w:tcPr>
            <w:tcW w:type="dxa" w:w="4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2,68 kg de CO₂ por litro (IPCC, 2006)</w:t>
            </w:r>
          </w:p>
        </w:tc>
      </w:tr>
      <w:tr>
        <w:trPr>
          <w:cantSplit/>
        </w:trPr>
        <w:tc>
          <w:tcPr>
            <w:tcW w:type="dxa" w:w="4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Emisiones por viaje</w:t>
            </w:r>
          </w:p>
        </w:tc>
        <w:tc>
          <w:tcPr>
            <w:tcW w:type="dxa" w:w="4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522 km × 0,10 L/km × 2,68 kg/L = </w:t>
            </w:r>
            <w:r>
              <w:rPr>
                <w:rFonts w:ascii="Calibri" w:cs="Calibri" w:eastAsia="Calibri" w:hAnsi="Calibri"/>
                <w:b/>
                <w:bCs/>
                <w:sz w:val="17"/>
                <w:szCs w:val="17"/>
              </w:rPr>
              <w:t xml:space="preserve">139,9 kg de CO₂</w:t>
            </w:r>
          </w:p>
        </w:tc>
      </w:tr>
      <w:tr>
        <w:trPr>
          <w:cantSplit/>
        </w:trPr>
        <w:tc>
          <w:tcPr>
            <w:tcW w:type="dxa" w:w="4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Modelo tradicional</w:t>
            </w:r>
          </w:p>
        </w:tc>
        <w:tc>
          <w:tcPr>
            <w:tcW w:type="dxa" w:w="4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4 viajes mensuales, uno por cada tanda de pedidos que llega por WhatsApp (supuesto)</w:t>
            </w:r>
          </w:p>
        </w:tc>
      </w:tr>
      <w:tr>
        <w:trPr>
          <w:cantSplit/>
        </w:trPr>
        <w:tc>
          <w:tcPr>
            <w:tcW w:type="dxa" w:w="4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Modelo digital</w:t>
            </w:r>
          </w:p>
        </w:tc>
        <w:tc>
          <w:tcPr>
            <w:tcW w:type="dxa" w:w="48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2 viajes mensuales con pedidos consolidados en fechas fijas (supuesto)</w:t>
            </w:r>
          </w:p>
        </w:tc>
      </w:tr>
    </w:tbl>
    <w:p>
      <w:pPr>
        <w:spacing w:after="60" w:line="276"/>
        <w:jc w:val="both"/>
      </w:pPr>
    </w:p>
    <w:p>
      <w:pPr>
        <w:keepNext/>
        <w:spacing w:before="0" w:after="0" w:line="480" w:lineRule="auto"/>
        <w:jc w:val="left"/>
      </w:pPr>
      <w:r>
        <w:rPr>
          <w:rFonts w:ascii="Calibri" w:cs="Calibri" w:eastAsia="Calibri" w:hAnsi="Calibri"/>
          <w:b/>
          <w:bCs/>
          <w:sz w:val="22"/>
          <w:szCs w:val="22"/>
        </w:rPr>
        <w:t xml:space="preserve">Tabla 3</w:t>
      </w:r>
    </w:p>
    <w:p>
      <w:pPr>
        <w:keepNext/>
        <w:spacing w:before="0" w:after="0" w:line="480" w:lineRule="auto"/>
        <w:jc w:val="left"/>
      </w:pPr>
      <w:r>
        <w:rPr>
          <w:rFonts w:ascii="Calibri" w:cs="Calibri" w:eastAsia="Calibri" w:hAnsi="Calibri"/>
          <w:i/>
          <w:iCs/>
          <w:sz w:val="22"/>
          <w:szCs w:val="22"/>
        </w:rPr>
        <w:t xml:space="preserve">Emisiones estimadas según el modelo de distribución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138"/>
      </w:tblGrid>
      <w:tr>
        <w:trPr>
          <w:tblHeader/>
        </w:trPr>
        <w:tc>
          <w:tcPr>
            <w:tcW w:type="dxa" w:w="33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Resultado</w:t>
            </w:r>
          </w:p>
        </w:tc>
        <w:tc>
          <w:tcPr>
            <w:tcW w:type="dxa" w:w="21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Tradicional</w:t>
            </w:r>
          </w:p>
        </w:tc>
        <w:tc>
          <w:tcPr>
            <w:tcW w:type="dxa" w:w="21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Digital</w:t>
            </w:r>
          </w:p>
        </w:tc>
        <w:tc>
          <w:tcPr>
            <w:tcW w:type="dxa" w:w="21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7"/>
                <w:szCs w:val="17"/>
              </w:rPr>
              <w:t xml:space="preserve">Reducción</w:t>
            </w:r>
          </w:p>
        </w:tc>
      </w:tr>
      <w:tr>
        <w:trPr>
          <w:cantSplit/>
        </w:trPr>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Kilómetros por mes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2.088 km</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1.044 km</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1.044 km</w:t>
            </w:r>
          </w:p>
        </w:tc>
      </w:tr>
      <w:tr>
        <w:trPr>
          <w:cantSplit/>
        </w:trPr>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Litros de gasoil por mes</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208,8</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104,4</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104,4</w:t>
            </w:r>
          </w:p>
        </w:tc>
      </w:tr>
      <w:tr>
        <w:trPr>
          <w:cantSplit/>
        </w:trPr>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7"/>
                <w:szCs w:val="17"/>
              </w:rPr>
              <w:t xml:space="preserve">Emisiones mensuales (kg CO₂)</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559,6</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279,8</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7"/>
                <w:szCs w:val="17"/>
              </w:rPr>
              <w:t xml:space="preserve">279,8</w:t>
            </w:r>
          </w:p>
        </w:tc>
      </w:tr>
      <w:tr>
        <w:trPr>
          <w:cantSplit/>
        </w:trPr>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Emisiones anuales (t CO₂)</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6,72</w:t>
            </w:r>
          </w:p>
        </w:tc>
        <w:tc>
          <w:tcPr>
            <w:tcW w:type="dxa" w:w="2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7"/>
                <w:szCs w:val="17"/>
              </w:rPr>
              <w:t xml:space="preserve">3,36</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7"/>
                <w:szCs w:val="17"/>
              </w:rPr>
              <w:t xml:space="preserve">3,36 t (50 %)</w:t>
            </w:r>
          </w:p>
        </w:tc>
      </w:tr>
    </w:tbl>
    <w:p>
      <w:pPr>
        <w:spacing w:after="60" w:line="276"/>
        <w:jc w:val="both"/>
      </w:pPr>
    </w:p>
    <w:p>
      <w:pPr>
        <w:spacing w:before="0" w:after="0" w:line="480" w:lineRule="auto"/>
        <w:ind w:firstLine="720"/>
        <w:jc w:val="left"/>
      </w:pPr>
      <w:r>
        <w:rPr>
          <w:rFonts w:ascii="Calibri" w:cs="Calibri" w:eastAsia="Calibri" w:hAnsi="Calibri"/>
          <w:sz w:val="22"/>
          <w:szCs w:val="22"/>
        </w:rPr>
        <w:t xml:space="preserve">Bajo estos supuestos, la consolidación de entregas que permite el canal digital evita la emisión de aproximadamente </w:t>
      </w:r>
      <w:r>
        <w:rPr>
          <w:rFonts w:ascii="Calibri" w:cs="Calibri" w:eastAsia="Calibri" w:hAnsi="Calibri"/>
          <w:b/>
          <w:bCs/>
          <w:sz w:val="22"/>
          <w:szCs w:val="22"/>
        </w:rPr>
        <w:t xml:space="preserve">3,4 toneladas de CO₂ por año</w:t>
      </w:r>
      <w:r>
        <w:rPr>
          <w:rFonts w:ascii="Calibri" w:cs="Calibri" w:eastAsia="Calibri" w:hAnsi="Calibri"/>
          <w:sz w:val="22"/>
          <w:szCs w:val="22"/>
        </w:rPr>
        <w:t xml:space="preserve"> solo en la ruta hacia Resistencia, además de un ahorro de 1.253 litros de combustible anuales, que también impacta en los costos. Los valores deben reemplazarse por los datos reales del emprendimiento (vehículo, consumo y frecuencia de viajes) para obtener una medición precisa; el método de cálculo se mantiene.</w:t>
      </w:r>
    </w:p>
    <w:p>
      <w:pPr>
        <w:spacing w:before="0" w:after="0" w:line="480" w:lineRule="auto"/>
        <w:ind w:firstLine="720"/>
        <w:jc w:val="left"/>
      </w:pPr>
      <w:r>
        <w:rPr>
          <w:rFonts w:ascii="Calibri" w:cs="Calibri" w:eastAsia="Calibri" w:hAnsi="Calibri"/>
          <w:sz w:val="22"/>
          <w:szCs w:val="22"/>
        </w:rPr>
        <w:t xml:space="preserve">A este resultado se suman otros aportes de la desmaterialización del canal: la ausencia de un local comercial evita su consumo energético, y el catálogo digital reemplaza las listas de precios y folletos impresos. En sentido contrario, deben considerarse el consumo energético del alojamiento web, mínimo en un sitio estático, y los embalajes de envío, que se proponen de cartón reciclado y reutilizable.</w:t>
      </w:r>
    </w:p>
    <w:p>
      <w:pPr>
        <w:keepNext/>
        <w:spacing w:before="0" w:after="0" w:line="480" w:lineRule="auto"/>
        <w:jc w:val="left"/>
      </w:pPr>
      <w:r>
        <w:rPr>
          <w:rFonts w:ascii="Calibri" w:cs="Calibri" w:eastAsia="Calibri" w:hAnsi="Calibri"/>
          <w:b/>
          <w:bCs/>
          <w:sz w:val="22"/>
          <w:szCs w:val="22"/>
        </w:rPr>
        <w:t xml:space="preserve">5.3. El impacto sobre el monte nativo</w:t>
      </w:r>
    </w:p>
    <w:p>
      <w:pPr>
        <w:spacing w:before="0" w:after="0" w:line="480" w:lineRule="auto"/>
        <w:ind w:firstLine="720"/>
        <w:jc w:val="left"/>
      </w:pPr>
      <w:r>
        <w:rPr>
          <w:rFonts w:ascii="Calibri" w:cs="Calibri" w:eastAsia="Calibri" w:hAnsi="Calibri"/>
          <w:sz w:val="22"/>
          <w:szCs w:val="22"/>
        </w:rPr>
        <w:t xml:space="preserve">El aporte ambiental más relevante del proyecto no se mide en emisiones, sino en bosque. El Gran Chaco argentino atraviesa un proceso sostenido de deforestación: según la plataforma de monitoreo de la Red Agroforestal Chaco Argentina (Redaf), la provincia perdió más de 376.000 hectáreas de bosque nativo entre 2008 y 2020. Frente a este escenario, la apicultura es reconocida como una actividad que da valor económico al monte en pie: diversas organizaciones y comunidades del Impenetrable la promueven como alternativa al desmonte, porque sus ingresos dependen de que los árboles sigan floreciendo.</w:t>
      </w:r>
    </w:p>
    <w:p>
      <w:pPr>
        <w:spacing w:before="0" w:after="0" w:line="480" w:lineRule="auto"/>
        <w:ind w:firstLine="720"/>
        <w:jc w:val="left"/>
      </w:pPr>
      <w:r>
        <w:rPr>
          <w:rFonts w:ascii="Calibri" w:cs="Calibri" w:eastAsia="Calibri" w:hAnsi="Calibri"/>
          <w:sz w:val="22"/>
          <w:szCs w:val="22"/>
        </w:rPr>
        <w:t xml:space="preserve">La miel de "Los Primos" depende directamente de la floración del garabato, el mistol y el algarrobo del Paraje San Agustín. Si el canal digital permite vender más y a mejor precio, aumenta el valor económico que la familia obtiene del monte nativo, y con él el incentivo para conservarlo. En este punto, el impacto ambiental y el impacto social se refuerzan mutuamente: un ingreso digno ligado al bosque favorece el arraigo en el territorio y la conservación de la biodiversidad.</w:t>
      </w:r>
    </w:p>
    <w:p>
      <w:pPr>
        <w:pStyle w:val="Heading2"/>
        <w:keepNext/>
        <w:spacing w:before="0" w:after="0" w:line="480" w:lineRule="auto"/>
        <w:jc w:val="center"/>
      </w:pPr>
      <w:r>
        <w:rPr>
          <w:rFonts w:ascii="Calibri" w:cs="Calibri" w:eastAsia="Calibri" w:hAnsi="Calibri"/>
          <w:b/>
          <w:bCs/>
          <w:sz w:val="22"/>
          <w:szCs w:val="22"/>
        </w:rPr>
        <w:t xml:space="preserve">Conclusión</w:t>
      </w:r>
    </w:p>
    <w:p>
      <w:pPr>
        <w:spacing w:before="0" w:after="0" w:line="480" w:lineRule="auto"/>
        <w:ind w:firstLine="720"/>
        <w:jc w:val="left"/>
      </w:pPr>
      <w:r>
        <w:rPr>
          <w:rFonts w:ascii="Calibri" w:cs="Calibri" w:eastAsia="Calibri" w:hAnsi="Calibri"/>
          <w:sz w:val="22"/>
          <w:szCs w:val="22"/>
        </w:rPr>
        <w:t xml:space="preserve">La comparación muestra que el paso del comercio tradicional a la startup digital no es solo un cambio de herramienta, sino de modelo económico. Los costos fijos se convierten en variables, la logística reactiva se transforma en planificada y la estructura rígida se vuelve modular. El software aporta una escalabilidad que ningún mostrador puede ofrecer, con la salvedad de que el límite real del crecimiento sigue estando en la producción.</w:t>
      </w:r>
    </w:p>
    <w:p>
      <w:pPr>
        <w:spacing w:before="0" w:after="0" w:line="480" w:lineRule="auto"/>
        <w:ind w:firstLine="720"/>
        <w:jc w:val="left"/>
      </w:pPr>
      <w:r>
        <w:rPr>
          <w:rFonts w:ascii="Calibri" w:cs="Calibri" w:eastAsia="Calibri" w:hAnsi="Calibri"/>
          <w:sz w:val="22"/>
          <w:szCs w:val="22"/>
        </w:rPr>
        <w:t xml:space="preserve">En términos ambientales, la evidencia científica y el cálculo aplicado indican que el e-commerce reduce las emisiones cuando se opera con criterios de consolidación, como la reducción estimada de 3,4 toneladas de CO₂ anuales en la ruta a Resistencia. Pero el mayor impacto positivo del proyecto es indirecto: fortalecer económicamente una actividad que depende de que el monte del Impenetrable siga en pie. Así, "Los Primos" integra las tres dimensiones del triple impacto: viabilidad económica, arraigo social y conservación ambiental.</w:t>
      </w:r>
    </w:p>
    <w:p>
      <w:pPr>
        <w:pStyle w:val="Heading2"/>
        <w:keepNext/>
        <w:pageBreakBefore/>
        <w:spacing w:before="0" w:after="0" w:line="480" w:lineRule="auto"/>
        <w:jc w:val="center"/>
      </w:pPr>
      <w:r>
        <w:rPr>
          <w:rFonts w:ascii="Calibri" w:cs="Calibri" w:eastAsia="Calibri" w:hAnsi="Calibri"/>
          <w:b/>
          <w:bCs/>
          <w:sz w:val="22"/>
          <w:szCs w:val="22"/>
        </w:rPr>
        <w:t xml:space="preserve">Referencias</w:t>
      </w:r>
    </w:p>
    <w:p>
      <w:pPr>
        <w:spacing w:before="0" w:after="0" w:line="480" w:lineRule="auto"/>
        <w:ind w:left="720" w:hanging="720"/>
        <w:jc w:val="left"/>
      </w:pPr>
      <w:r>
        <w:rPr>
          <w:rFonts w:ascii="Calibri" w:cs="Calibri" w:eastAsia="Calibri" w:hAnsi="Calibri"/>
          <w:sz w:val="22"/>
          <w:szCs w:val="22"/>
        </w:rPr>
        <w:t xml:space="preserve">AgendAR. (2022). </w:t>
      </w:r>
      <w:r>
        <w:rPr>
          <w:rFonts w:ascii="Calibri" w:cs="Calibri" w:eastAsia="Calibri" w:hAnsi="Calibri"/>
          <w:i/>
          <w:iCs/>
          <w:sz w:val="22"/>
          <w:szCs w:val="22"/>
        </w:rPr>
        <w:t xml:space="preserve">El bosque nativo del Gran Chaco está muriendo</w:t>
      </w:r>
      <w:r>
        <w:rPr>
          <w:rFonts w:ascii="Calibri" w:cs="Calibri" w:eastAsia="Calibri" w:hAnsi="Calibri"/>
          <w:sz w:val="22"/>
          <w:szCs w:val="22"/>
        </w:rPr>
        <w:t xml:space="preserve"> [datos de la Red Agroforestal Chaco Argentina, Redaf]. https://agendarweb.com.ar/2022/11/18/el-bosque-nativo-del-gran-chaco-muriendo-agendar-avisa-los-costos-para-el-pais/</w:t>
      </w:r>
    </w:p>
    <w:p>
      <w:pPr>
        <w:spacing w:before="0" w:after="0" w:line="480" w:lineRule="auto"/>
        <w:ind w:left="720" w:hanging="720"/>
        <w:jc w:val="left"/>
      </w:pPr>
      <w:r>
        <w:rPr>
          <w:rFonts w:ascii="Calibri" w:cs="Calibri" w:eastAsia="Calibri" w:hAnsi="Calibri"/>
          <w:sz w:val="22"/>
          <w:szCs w:val="22"/>
        </w:rPr>
        <w:t xml:space="preserve">Bain &amp; Company. (s.f.). </w:t>
      </w:r>
      <w:r>
        <w:rPr>
          <w:rFonts w:ascii="Calibri" w:cs="Calibri" w:eastAsia="Calibri" w:hAnsi="Calibri"/>
          <w:i/>
          <w:iCs/>
          <w:sz w:val="22"/>
          <w:szCs w:val="22"/>
        </w:rPr>
        <w:t xml:space="preserve">Retailers’ challenge: How to cut carbon emissions as e-commerce soars</w:t>
      </w:r>
      <w:r>
        <w:rPr>
          <w:rFonts w:ascii="Calibri" w:cs="Calibri" w:eastAsia="Calibri" w:hAnsi="Calibri"/>
          <w:sz w:val="22"/>
          <w:szCs w:val="22"/>
        </w:rPr>
        <w:t xml:space="preserve">. https://www.bain.com/insights/how-to-cut-carbon-emissions-as-ecommerce-soars/</w:t>
      </w:r>
    </w:p>
    <w:p>
      <w:pPr>
        <w:spacing w:before="0" w:after="0" w:line="480" w:lineRule="auto"/>
        <w:ind w:left="720" w:hanging="720"/>
        <w:jc w:val="left"/>
      </w:pPr>
      <w:r>
        <w:rPr>
          <w:rFonts w:ascii="Calibri" w:cs="Calibri" w:eastAsia="Calibri" w:hAnsi="Calibri"/>
          <w:sz w:val="22"/>
          <w:szCs w:val="22"/>
        </w:rPr>
        <w:t xml:space="preserve">Frontiers in Sustainability. (2026). </w:t>
      </w:r>
      <w:r>
        <w:rPr>
          <w:rFonts w:ascii="Calibri" w:cs="Calibri" w:eastAsia="Calibri" w:hAnsi="Calibri"/>
          <w:i/>
          <w:iCs/>
          <w:sz w:val="22"/>
          <w:szCs w:val="22"/>
        </w:rPr>
        <w:t xml:space="preserve">E-commerce vs. physical retail: Sustainability depends on logistics, not channels</w:t>
      </w:r>
      <w:r>
        <w:rPr>
          <w:rFonts w:ascii="Calibri" w:cs="Calibri" w:eastAsia="Calibri" w:hAnsi="Calibri"/>
          <w:sz w:val="22"/>
          <w:szCs w:val="22"/>
        </w:rPr>
        <w:t xml:space="preserve">. https://doi.org/10.3389/frsus.2026.1751386</w:t>
      </w:r>
    </w:p>
    <w:p>
      <w:pPr>
        <w:spacing w:before="0" w:after="0" w:line="480" w:lineRule="auto"/>
        <w:ind w:left="720" w:hanging="720"/>
        <w:jc w:val="left"/>
      </w:pPr>
      <w:r>
        <w:rPr>
          <w:rFonts w:ascii="Calibri" w:cs="Calibri" w:eastAsia="Calibri" w:hAnsi="Calibri"/>
          <w:sz w:val="22"/>
          <w:szCs w:val="22"/>
        </w:rPr>
        <w:t xml:space="preserve">Impacts of behavioral, organizational, and spatial factors on the carbon footprint of traditional retail and e-commerce in the Paris region. (2024). PubMed Central. https://pmc.ncbi.nlm.nih.gov/articles/PMC11064859/</w:t>
      </w:r>
    </w:p>
    <w:p>
      <w:pPr>
        <w:spacing w:before="0" w:after="0" w:line="480" w:lineRule="auto"/>
        <w:ind w:left="720" w:hanging="720"/>
        <w:jc w:val="left"/>
      </w:pPr>
      <w:r>
        <w:rPr>
          <w:rFonts w:ascii="Calibri" w:cs="Calibri" w:eastAsia="Calibri" w:hAnsi="Calibri"/>
          <w:sz w:val="22"/>
          <w:szCs w:val="22"/>
        </w:rPr>
        <w:t xml:space="preserve">IPCC. (2006). </w:t>
      </w:r>
      <w:r>
        <w:rPr>
          <w:rFonts w:ascii="Calibri" w:cs="Calibri" w:eastAsia="Calibri" w:hAnsi="Calibri"/>
          <w:i/>
          <w:iCs/>
          <w:sz w:val="22"/>
          <w:szCs w:val="22"/>
        </w:rPr>
        <w:t xml:space="preserve">Directrices del IPCC de 2006 para los inventarios nacionales de gases de efecto invernadero. Volumen 2: Energía</w:t>
      </w:r>
      <w:r>
        <w:rPr>
          <w:rFonts w:ascii="Calibri" w:cs="Calibri" w:eastAsia="Calibri" w:hAnsi="Calibri"/>
          <w:sz w:val="22"/>
          <w:szCs w:val="22"/>
        </w:rPr>
        <w:t xml:space="preserve">. Panel Intergubernamental de Expertos sobre el Cambio Climático.</w:t>
      </w:r>
    </w:p>
    <w:p>
      <w:pPr>
        <w:spacing w:before="0" w:after="0" w:line="480" w:lineRule="auto"/>
        <w:ind w:left="720" w:hanging="720"/>
        <w:jc w:val="left"/>
      </w:pPr>
      <w:r>
        <w:rPr>
          <w:rFonts w:ascii="Calibri" w:cs="Calibri" w:eastAsia="Calibri" w:hAnsi="Calibri"/>
          <w:sz w:val="22"/>
          <w:szCs w:val="22"/>
        </w:rPr>
        <w:t xml:space="preserve">Klein et al. (2023). A comparison of the environmental sustainability of brick-and-mortar retailing and online retailing: Contrasting academic research and consumer perceptions. </w:t>
      </w:r>
      <w:r>
        <w:rPr>
          <w:rFonts w:ascii="Calibri" w:cs="Calibri" w:eastAsia="Calibri" w:hAnsi="Calibri"/>
          <w:i/>
          <w:iCs/>
          <w:sz w:val="22"/>
          <w:szCs w:val="22"/>
        </w:rPr>
        <w:t xml:space="preserve">Business and Society Review</w:t>
      </w:r>
      <w:r>
        <w:rPr>
          <w:rFonts w:ascii="Calibri" w:cs="Calibri" w:eastAsia="Calibri" w:hAnsi="Calibri"/>
          <w:sz w:val="22"/>
          <w:szCs w:val="22"/>
        </w:rPr>
        <w:t xml:space="preserve">. https://doi.org/10.1111/basr.12332</w:t>
      </w:r>
    </w:p>
    <w:p>
      <w:pPr>
        <w:spacing w:before="0" w:after="0" w:line="480" w:lineRule="auto"/>
        <w:ind w:left="720" w:hanging="720"/>
        <w:jc w:val="left"/>
      </w:pPr>
      <w:r>
        <w:rPr>
          <w:rFonts w:ascii="Calibri" w:cs="Calibri" w:eastAsia="Calibri" w:hAnsi="Calibri"/>
          <w:sz w:val="22"/>
          <w:szCs w:val="22"/>
        </w:rPr>
        <w:t xml:space="preserve">Ministerio de Turismo y Deportes de la Nación. (s.f.). </w:t>
      </w:r>
      <w:r>
        <w:rPr>
          <w:rFonts w:ascii="Calibri" w:cs="Calibri" w:eastAsia="Calibri" w:hAnsi="Calibri"/>
          <w:i/>
          <w:iCs/>
          <w:sz w:val="22"/>
          <w:szCs w:val="22"/>
        </w:rPr>
        <w:t xml:space="preserve">Juan José Castelli</w:t>
      </w:r>
      <w:r>
        <w:rPr>
          <w:rFonts w:ascii="Calibri" w:cs="Calibri" w:eastAsia="Calibri" w:hAnsi="Calibri"/>
          <w:sz w:val="22"/>
          <w:szCs w:val="22"/>
        </w:rPr>
        <w:t xml:space="preserve">. Argentina.travel. https://www.argentina.travel/actividades/juan-jose-castelli</w:t>
      </w:r>
    </w:p>
    <w:p>
      <w:pPr>
        <w:spacing w:before="0" w:after="0" w:line="480" w:lineRule="auto"/>
        <w:ind w:left="720" w:hanging="720"/>
        <w:jc w:val="left"/>
      </w:pPr>
      <w:r>
        <w:rPr>
          <w:rFonts w:ascii="Calibri" w:cs="Calibri" w:eastAsia="Calibri" w:hAnsi="Calibri"/>
          <w:sz w:val="22"/>
          <w:szCs w:val="22"/>
        </w:rPr>
        <w:t xml:space="preserve">Pulitzer Center. (s.f.). </w:t>
      </w:r>
      <w:r>
        <w:rPr>
          <w:rFonts w:ascii="Calibri" w:cs="Calibri" w:eastAsia="Calibri" w:hAnsi="Calibri"/>
          <w:i/>
          <w:iCs/>
          <w:sz w:val="22"/>
          <w:szCs w:val="22"/>
        </w:rPr>
        <w:t xml:space="preserve">Honey producers resist deforestation in the Impenetrable Chaco</w:t>
      </w:r>
      <w:r>
        <w:rPr>
          <w:rFonts w:ascii="Calibri" w:cs="Calibri" w:eastAsia="Calibri" w:hAnsi="Calibri"/>
          <w:sz w:val="22"/>
          <w:szCs w:val="22"/>
        </w:rPr>
        <w:t xml:space="preserve"> [publicado originalmente en El País]. https://pulitzercenter.org/stories/honey-producers-resist-deforestation-impenetrable-chaco-spanish</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rPr>
      <w:fldChar w:fldCharType="begin"/>
    </w:r>
    <w:r>
      <w:rPr>
        <w:rFonts w:ascii="Calibri" w:cs="Calibri" w:eastAsia="Calibri" w:hAnsi="Calibri"/>
        <w:sz w:val="22"/>
      </w:rPr>
      <w:instrText xml:space="preserve"> PAGE </w:instrText>
    </w:r>
    <w:r>
      <w:rPr>
        <w:rFonts w:ascii="Calibri" w:cs="Calibri" w:eastAsia="Calibri" w:hAnsi="Calibri"/>
        <w:sz w:val="22"/>
      </w:rPr>
      <w:fldChar w:fldCharType="separate"/>
    </w:r>
    <w:r>
      <w:rPr>
        <w:rFonts w:ascii="Calibri" w:cs="Calibri" w:eastAsia="Calibri" w:hAnsi="Calibri"/>
        <w:sz w:val="22"/>
      </w:rPr>
      <w:t>1</w:t>
    </w:r>
    <w:r>
      <w:rPr>
        <w:rFonts w:ascii="Calibri" w:cs="Calibri" w:eastAsia="Calibri" w:hAnsi="Calibri"/>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2"/>
      <w:szCs w:val="22"/>
    </w:rPr>
  </w:style>
  <w:style w:type="paragraph" w:styleId="Heading2">
    <w:name w:val="Heading 2"/>
    <w:basedOn w:val="Normal"/>
    <w:next w:val="Normal"/>
    <w:qFormat/>
    <w:rPr>
      <w:b/>
      <w:bCs/>
      <w:sz w:val="22"/>
      <w:szCs w:val="22"/>
    </w:rPr>
  </w:style>
  <w:style w:type="paragraph" w:styleId="Heading3">
    <w:name w:val="Heading 3"/>
    <w:basedOn w:val="Normal"/>
    <w:next w:val="Normal"/>
    <w:qFormat/>
    <w:rPr>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2026-09-23T20:31:15.871Z</dcterms:created>
  <dcterms:modified xsi:type="dcterms:W3CDTF">2026-09-23T20:31:15.871Z</dcterms:modified>
</cp:coreProperties>
</file>

<file path=docProps/custom.xml><?xml version="1.0" encoding="utf-8"?>
<Properties xmlns="http://schemas.openxmlformats.org/officeDocument/2006/custom-properties" xmlns:vt="http://schemas.openxmlformats.org/officeDocument/2006/docPropsVTypes"/>
</file>