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line="480" w:lineRule="auto"/>
        <w:jc w:val="center"/>
      </w:pPr>
      <w:r>
        <w:rPr>
          <w:rFonts w:ascii="Calibri" w:cs="Calibri" w:eastAsia="Calibri" w:hAnsi="Calibri"/>
          <w:b/>
          <w:bCs/>
          <w:sz w:val="22"/>
          <w:szCs w:val="22"/>
        </w:rPr>
        <w:t xml:space="preserve">Matriz y Registro de Riesgos del Proyecto</w:t>
      </w:r>
    </w:p>
    <w:p>
      <w:pPr>
        <w:spacing w:before="0" w:after="0" w:line="480" w:lineRule="auto"/>
        <w:jc w:val="center"/>
      </w:pPr>
      <w:r>
        <w:rPr>
          <w:rFonts w:ascii="Calibri" w:cs="Calibri" w:eastAsia="Calibri" w:hAnsi="Calibri"/>
          <w:b/>
          <w:bCs/>
          <w:sz w:val="22"/>
          <w:szCs w:val="22"/>
        </w:rPr>
        <w:t xml:space="preserve">Plataforma Web E-Commerce "Los Primos" — Miel del Impenetrable</w:t>
      </w:r>
    </w:p>
    <w:p>
      <w:pPr>
        <w:spacing w:before="0" w:after="0" w:line="480" w:lineRule="auto"/>
        <w:jc w:val="center"/>
      </w:pPr>
    </w:p>
    <w:p>
      <w:pPr>
        <w:spacing w:before="0" w:after="0" w:line="480" w:lineRule="auto"/>
        <w:jc w:val="center"/>
      </w:pPr>
      <w:r>
        <w:rPr>
          <w:rFonts w:ascii="Calibri" w:cs="Calibri" w:eastAsia="Calibri" w:hAnsi="Calibri"/>
          <w:sz w:val="22"/>
          <w:szCs w:val="22"/>
        </w:rPr>
        <w:t xml:space="preserve">Project Manager / Desarrolladora: </w:t>
      </w:r>
      <w:r>
        <w:rPr>
          <w:rFonts w:ascii="Calibri" w:cs="Calibri" w:eastAsia="Calibri" w:hAnsi="Calibri"/>
          <w:sz w:val="22"/>
          <w:szCs w:val="22"/>
        </w:rPr>
        <w:t xml:space="preserve">Molina Juana (proyecto individual — roles de PM, Lead Developer y Compliance Officer)</w:t>
      </w:r>
    </w:p>
    <w:p>
      <w:pPr>
        <w:spacing w:before="0" w:after="0" w:line="480" w:lineRule="auto"/>
        <w:jc w:val="center"/>
      </w:pPr>
      <w:r>
        <w:rPr>
          <w:rFonts w:ascii="Calibri" w:cs="Calibri" w:eastAsia="Calibri" w:hAnsi="Calibri"/>
          <w:sz w:val="22"/>
          <w:szCs w:val="22"/>
        </w:rPr>
        <w:t xml:space="preserve">IES "René Favaloro" — Tecnicatura Superior en Desarrollo de Software</w:t>
      </w:r>
    </w:p>
    <w:p>
      <w:pPr>
        <w:spacing w:before="0" w:after="0" w:line="480" w:lineRule="auto"/>
        <w:jc w:val="center"/>
      </w:pPr>
      <w:r>
        <w:rPr>
          <w:rFonts w:ascii="Calibri" w:cs="Calibri" w:eastAsia="Calibri" w:hAnsi="Calibri"/>
          <w:sz w:val="22"/>
          <w:szCs w:val="22"/>
        </w:rPr>
        <w:t xml:space="preserve">Espacio curricular: </w:t>
      </w:r>
      <w:r>
        <w:rPr>
          <w:rFonts w:ascii="Calibri" w:cs="Calibri" w:eastAsia="Calibri" w:hAnsi="Calibri"/>
          <w:sz w:val="22"/>
          <w:szCs w:val="22"/>
        </w:rPr>
        <w:t xml:space="preserve">Dirección y Gestión de Proyectos Tecnológicos</w:t>
      </w:r>
    </w:p>
    <w:p>
      <w:pPr>
        <w:spacing w:before="0" w:after="0" w:line="480" w:lineRule="auto"/>
        <w:jc w:val="center"/>
      </w:pPr>
      <w:r>
        <w:rPr>
          <w:rFonts w:ascii="Calibri" w:cs="Calibri" w:eastAsia="Calibri" w:hAnsi="Calibri"/>
          <w:sz w:val="22"/>
          <w:szCs w:val="22"/>
        </w:rPr>
        <w:t xml:space="preserve">Docente: </w:t>
      </w:r>
      <w:r>
        <w:rPr>
          <w:rFonts w:ascii="Calibri" w:cs="Calibri" w:eastAsia="Calibri" w:hAnsi="Calibri"/>
          <w:sz w:val="22"/>
          <w:szCs w:val="22"/>
        </w:rPr>
        <w:t xml:space="preserve">Prof. Erick Gastón Ibáñez</w:t>
      </w:r>
    </w:p>
    <w:p>
      <w:pPr>
        <w:spacing w:before="0" w:after="0" w:line="480" w:lineRule="auto"/>
        <w:jc w:val="center"/>
      </w:pPr>
      <w:r>
        <w:rPr>
          <w:rFonts w:ascii="Calibri" w:cs="Calibri" w:eastAsia="Calibri" w:hAnsi="Calibri"/>
          <w:sz w:val="22"/>
          <w:szCs w:val="22"/>
        </w:rPr>
        <w:t xml:space="preserve">Período: </w:t>
      </w:r>
      <w:r>
        <w:rPr>
          <w:rFonts w:ascii="Calibri" w:cs="Calibri" w:eastAsia="Calibri" w:hAnsi="Calibri"/>
          <w:sz w:val="22"/>
          <w:szCs w:val="22"/>
        </w:rPr>
        <w:t xml:space="preserve">Sprint 2 — Semanas 4 a 6 (14/09/2026 al 02/10/2026)</w:t>
      </w:r>
    </w:p>
    <w:p>
      <w:r>
        <w:br w:type="page"/>
      </w:r>
    </w:p>
    <w:p>
      <w:pPr>
        <w:spacing w:before="0" w:after="0" w:line="480" w:lineRule="auto"/>
        <w:jc w:val="center"/>
      </w:pPr>
      <w:r>
        <w:rPr>
          <w:rFonts w:ascii="Calibri" w:cs="Calibri" w:eastAsia="Calibri" w:hAnsi="Calibri"/>
          <w:b/>
          <w:bCs/>
          <w:sz w:val="22"/>
          <w:szCs w:val="22"/>
        </w:rPr>
        <w:t xml:space="preserve">Matriz y Registro de Riesgos del Proyecto</w:t>
      </w:r>
    </w:p>
    <w:p>
      <w:pPr>
        <w:pStyle w:val="Heading2"/>
        <w:keepNext/>
        <w:spacing w:before="0" w:after="0" w:line="480" w:lineRule="auto"/>
        <w:jc w:val="center"/>
      </w:pPr>
      <w:r>
        <w:rPr>
          <w:rFonts w:ascii="Calibri" w:cs="Calibri" w:eastAsia="Calibri" w:hAnsi="Calibri"/>
          <w:b/>
          <w:bCs/>
          <w:sz w:val="22"/>
          <w:szCs w:val="22"/>
        </w:rPr>
        <w:t xml:space="preserve">1. Metodología de evaluación</w:t>
      </w:r>
    </w:p>
    <w:p>
      <w:pPr>
        <w:spacing w:before="0" w:after="0" w:line="480" w:lineRule="auto"/>
        <w:ind w:firstLine="720"/>
        <w:jc w:val="left"/>
      </w:pPr>
      <w:r>
        <w:rPr>
          <w:rFonts w:ascii="Calibri" w:cs="Calibri" w:eastAsia="Calibri" w:hAnsi="Calibri"/>
          <w:sz w:val="22"/>
          <w:szCs w:val="22"/>
        </w:rPr>
        <w:t xml:space="preserve">Cada riesgo se evalúa según su probabilidad de ocurrencia (P) y su impacto sobre el alcance, los tiempos o la calidad del proyecto (I), ambos en una escala de 1 (bajo) a 3 (alto). La prioridad resulta del producto P × I y determina el tipo de respuesta, siguiendo los lineamientos de gestión de riesgos del PMI.</w:t>
      </w:r>
    </w:p>
    <w:p>
      <w:pPr>
        <w:keepNext/>
        <w:spacing w:before="0" w:after="0" w:line="480" w:lineRule="auto"/>
        <w:jc w:val="left"/>
      </w:pPr>
      <w:r>
        <w:rPr>
          <w:rFonts w:ascii="Calibri" w:cs="Calibri" w:eastAsia="Calibri" w:hAnsi="Calibri"/>
          <w:b/>
          <w:bCs/>
          <w:sz w:val="22"/>
          <w:szCs w:val="22"/>
        </w:rPr>
        <w:t xml:space="preserve">Tabla 1</w:t>
      </w:r>
    </w:p>
    <w:p>
      <w:pPr>
        <w:keepNext/>
        <w:spacing w:before="0" w:after="0" w:line="480" w:lineRule="auto"/>
        <w:jc w:val="left"/>
      </w:pPr>
      <w:r>
        <w:rPr>
          <w:rFonts w:ascii="Calibri" w:cs="Calibri" w:eastAsia="Calibri" w:hAnsi="Calibri"/>
          <w:i/>
          <w:iCs/>
          <w:sz w:val="22"/>
          <w:szCs w:val="22"/>
        </w:rPr>
        <w:t xml:space="preserve">Criterios de prioridad y de respuesta a los riesgos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00"/>
      </w:tblGrid>
      <w:tr>
        <w:tc>
          <w:tcPr>
            <w:tcW w:type="dxa" w:w="2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Prioridad (P × I)</w:t>
            </w:r>
          </w:p>
        </w:tc>
        <w:tc>
          <w:tcPr>
            <w:tcW w:type="dxa" w:w="2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Rango</w:t>
            </w:r>
          </w:p>
        </w:tc>
        <w:tc>
          <w:tcPr>
            <w:tcW w:type="dxa" w:w="56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Criterio de respuesta</w:t>
            </w:r>
          </w:p>
        </w:tc>
      </w:tr>
      <w:tr>
        <w:tc>
          <w:tcPr>
            <w:tcW w:type="dxa" w:w="20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Alta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6 – 9</w:t>
            </w:r>
          </w:p>
        </w:tc>
        <w:tc>
          <w:tcPr>
            <w:tcW w:type="dxa" w:w="5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Acción inmediata y seguimiento semanal en el tablero Kanban.</w:t>
            </w:r>
          </w:p>
        </w:tc>
      </w:tr>
      <w:tr>
        <w:tc>
          <w:tcPr>
            <w:tcW w:type="dxa" w:w="2000"/>
            <w:tcBorders>
              <w:top w:val="single" w:color="999999" w:sz="4"/>
              <w:left w:val="single" w:color="999999" w:sz="4"/>
              <w:bottom w:val="single" w:color="999999" w:sz="4"/>
              <w:right w:val="single" w:color="999999" w:sz="4"/>
            </w:tcBorders>
            <w:shd w:fill="FCE7A8"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Media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3 – 4</w:t>
            </w:r>
          </w:p>
        </w:tc>
        <w:tc>
          <w:tcPr>
            <w:tcW w:type="dxa" w:w="5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Plan de acción definido y monitoreo en cada revisión del sprint.</w:t>
            </w:r>
          </w:p>
        </w:tc>
      </w:tr>
      <w:tr>
        <w:tc>
          <w:tcPr>
            <w:tcW w:type="dxa" w:w="2000"/>
            <w:tcBorders>
              <w:top w:val="single" w:color="999999" w:sz="4"/>
              <w:left w:val="single" w:color="999999" w:sz="4"/>
              <w:bottom w:val="single" w:color="999999" w:sz="4"/>
              <w:right w:val="single" w:color="999999" w:sz="4"/>
            </w:tcBorders>
            <w:shd w:fill="C8E6C9"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Baja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sz w:val="16"/>
                <w:szCs w:val="16"/>
              </w:rPr>
              <w:t xml:space="preserve">1 – 2</w:t>
            </w:r>
          </w:p>
        </w:tc>
        <w:tc>
          <w:tcPr>
            <w:tcW w:type="dxa" w:w="5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sz w:val="16"/>
                <w:szCs w:val="16"/>
              </w:rPr>
              <w:t xml:space="preserve">Aceptación del riesgo con revisión al cierre del sprint.</w:t>
            </w:r>
          </w:p>
        </w:tc>
      </w:tr>
    </w:tbl>
    <w:p>
      <w:pPr>
        <w:pStyle w:val="Heading2"/>
        <w:keepNext/>
        <w:spacing w:before="0" w:after="0" w:line="480" w:lineRule="auto"/>
        <w:jc w:val="center"/>
      </w:pPr>
      <w:r>
        <w:rPr>
          <w:rFonts w:ascii="Calibri" w:cs="Calibri" w:eastAsia="Calibri" w:hAnsi="Calibri"/>
          <w:b/>
          <w:bCs/>
          <w:sz w:val="22"/>
          <w:szCs w:val="22"/>
        </w:rPr>
        <w:t xml:space="preserve">2. Matriz de riesgos</w:t>
      </w:r>
    </w:p>
    <w:p>
      <w:pPr>
        <w:keepNext/>
        <w:spacing w:before="0" w:after="0" w:line="480" w:lineRule="auto"/>
        <w:jc w:val="left"/>
      </w:pPr>
      <w:r>
        <w:rPr>
          <w:rFonts w:ascii="Calibri" w:cs="Calibri" w:eastAsia="Calibri" w:hAnsi="Calibri"/>
          <w:b/>
          <w:bCs/>
          <w:sz w:val="22"/>
          <w:szCs w:val="22"/>
        </w:rPr>
        <w:t xml:space="preserve">Tabla 2</w:t>
      </w:r>
    </w:p>
    <w:p>
      <w:pPr>
        <w:keepNext/>
        <w:spacing w:before="0" w:after="0" w:line="480" w:lineRule="auto"/>
        <w:jc w:val="left"/>
      </w:pPr>
      <w:r>
        <w:rPr>
          <w:rFonts w:ascii="Calibri" w:cs="Calibri" w:eastAsia="Calibri" w:hAnsi="Calibri"/>
          <w:i/>
          <w:iCs/>
          <w:sz w:val="22"/>
          <w:szCs w:val="22"/>
        </w:rPr>
        <w:t xml:space="preserve">Matriz de riesgos del Sprint 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0"/>
        <w:gridCol w:w="2670"/>
        <w:gridCol w:w="1200"/>
        <w:gridCol w:w="500"/>
        <w:gridCol w:w="500"/>
        <w:gridCol w:w="1000"/>
        <w:gridCol w:w="3250"/>
        <w:gridCol w:w="3250"/>
        <w:gridCol w:w="1600"/>
      </w:tblGrid>
      <w:tr>
        <w:trPr>
          <w:tblHeader/>
        </w:trPr>
        <w:tc>
          <w:tcPr>
            <w:tcW w:type="dxa" w:w="6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ID</w:t>
            </w:r>
          </w:p>
        </w:tc>
        <w:tc>
          <w:tcPr>
            <w:tcW w:type="dxa" w:w="267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Riesgo</w:t>
            </w:r>
          </w:p>
        </w:tc>
        <w:tc>
          <w:tcPr>
            <w:tcW w:type="dxa" w:w="12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Categoría</w:t>
            </w:r>
          </w:p>
        </w:tc>
        <w:tc>
          <w:tcPr>
            <w:tcW w:type="dxa" w:w="5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P</w:t>
            </w:r>
          </w:p>
        </w:tc>
        <w:tc>
          <w:tcPr>
            <w:tcW w:type="dxa" w:w="5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I</w:t>
            </w:r>
          </w:p>
        </w:tc>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Prioridad</w:t>
            </w:r>
          </w:p>
        </w:tc>
        <w:tc>
          <w:tcPr>
            <w:tcW w:type="dxa" w:w="325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Plan de acción (prevención)</w:t>
            </w:r>
          </w:p>
        </w:tc>
        <w:tc>
          <w:tcPr>
            <w:tcW w:type="dxa" w:w="325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Plan de contingencia (mitigación)</w:t>
            </w:r>
          </w:p>
        </w:tc>
        <w:tc>
          <w:tcPr>
            <w:tcW w:type="dxa" w:w="16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Estado</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R1</w:t>
            </w:r>
          </w:p>
        </w:tc>
        <w:tc>
          <w:tcPr>
            <w:tcW w:type="dxa" w:w="267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Sobrecarga de tareas por desarrollo unipersonal (roles de PM, desarrolladora y compliance en simultáneo).</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Equipo / Tiempos</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3</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3</w:t>
            </w:r>
          </w:p>
        </w:tc>
        <w:tc>
          <w:tcPr>
            <w:tcW w:type="dxa" w:w="10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Alta (9)</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Dividir el sprint en issues pequeñas (GitHub/Trello) y apoyar la codificación en una herramienta de IA supervisada.</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Repriorizar según lo evaluado por las cátedras; intercalar informes y código para evitar el cuello de botella final.</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Materializado (atraso de productos.json, Gantt y matriz).</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R2</w:t>
            </w:r>
          </w:p>
        </w:tc>
        <w:tc>
          <w:tcPr>
            <w:tcW w:type="dxa" w:w="267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Oposición de marca "Los Primos" en Clase 30 del INPI por similitud fonética con marcas existentes.</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Legal</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2</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3</w:t>
            </w:r>
          </w:p>
        </w:tc>
        <w:tc>
          <w:tcPr>
            <w:tcW w:type="dxa" w:w="10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Alta (6)</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Búsqueda de antecedentes en INPI (realizada en Sprint 1) y monitoreo del Boletín de Marcas.</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Nombre alternativo que conserve el dominio (p. ej. reforzar "del Impenetrable" como elemento distintivo).</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En monitoreo.</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R3</w:t>
            </w:r>
          </w:p>
        </w:tc>
        <w:tc>
          <w:tcPr>
            <w:tcW w:type="dxa" w:w="267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Complejidad técnica de integrar Mercado Pago sobre un sitio estático.</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Técnico</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3</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2</w:t>
            </w:r>
          </w:p>
        </w:tc>
        <w:tc>
          <w:tcPr>
            <w:tcW w:type="dxa" w:w="10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Alta (6)</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Acotar alcance: en Sprint 2 el checkout es simulado; la integración real se planifica para Sprint 3 (Laravel).</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Solución intermedia con link o botón de pago de Mercado Pago sin backend.</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Activo (Sprint 3).</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R4</w:t>
            </w:r>
          </w:p>
        </w:tc>
        <w:tc>
          <w:tcPr>
            <w:tcW w:type="dxa" w:w="267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Errores de ramas o pérdida de código en Git (ramas mal bifurcadas, conflictos al mergear).</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Técnico</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2</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3</w:t>
            </w:r>
          </w:p>
        </w:tc>
        <w:tc>
          <w:tcPr>
            <w:tcW w:type="dxa" w:w="10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Alta (6)</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Flujo fijo: una rama por issue creada desde dev; main solo para entregas; revisión de cada PR antes del merge.</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Rebase o cherry-pick para limpiar historial; respaldo en repositorio remoto de GitHub.</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Ocurrido parcialmente (rama #4 creada desde #2).</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R5</w:t>
            </w:r>
          </w:p>
        </w:tc>
        <w:tc>
          <w:tcPr>
            <w:tcW w:type="dxa" w:w="267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Visualización deficiente en dispositivos móviles (ruptura del layout en pantallas chicas).</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Técnico / Usabilidad</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2</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2</w:t>
            </w:r>
          </w:p>
        </w:tc>
        <w:tc>
          <w:tcPr>
            <w:tcW w:type="dxa" w:w="1000"/>
            <w:tcBorders>
              <w:top w:val="single" w:color="999999" w:sz="4"/>
              <w:left w:val="single" w:color="999999" w:sz="4"/>
              <w:bottom w:val="single" w:color="999999" w:sz="4"/>
              <w:right w:val="single" w:color="999999" w:sz="4"/>
            </w:tcBorders>
            <w:shd w:fill="FCE7A8"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Media (4)</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Diseño mobile-first con Flexbox y CSS Grid; pruebas en DevTools en distintos anchos.</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Instancia de pruebas responsive (#12) con corrección de breakpoints antes de la entrega.</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En monitoreo.</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R6</w:t>
            </w:r>
          </w:p>
        </w:tc>
        <w:tc>
          <w:tcPr>
            <w:tcW w:type="dxa" w:w="267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Dependencia de herramientas de IA para generar código (errores no detectados o código que no puede justificarse en la defensa).</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Técnico / Ético</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2</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3</w:t>
            </w:r>
          </w:p>
        </w:tc>
        <w:tc>
          <w:tcPr>
            <w:tcW w:type="dxa" w:w="10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Alta (6)</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Revisión manual de cada PR y comprensión del código antes de mergearlo.</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Reescribir las partes que no puedan justificarse y documentar el uso de IA en la declaración ética.</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En monitoreo.</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R7</w:t>
            </w:r>
          </w:p>
        </w:tc>
        <w:tc>
          <w:tcPr>
            <w:tcW w:type="dxa" w:w="267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Incumplimiento de la Ley 25.326 en el tratamiento de los datos personales del checkout.</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Legal</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1</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sz w:val="16"/>
                <w:szCs w:val="16"/>
              </w:rPr>
              <w:t xml:space="preserve">3</w:t>
            </w:r>
          </w:p>
        </w:tc>
        <w:tc>
          <w:tcPr>
            <w:tcW w:type="dxa" w:w="1000"/>
            <w:tcBorders>
              <w:top w:val="single" w:color="999999" w:sz="4"/>
              <w:left w:val="single" w:color="999999" w:sz="4"/>
              <w:bottom w:val="single" w:color="999999" w:sz="4"/>
              <w:right w:val="single" w:color="999999" w:sz="4"/>
            </w:tcBorders>
            <w:shd w:fill="FCE7A8"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Media (3)</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Redactar la Política de Privacidad (finalidad, seguridad, derechos ARCO) y solicitar solo los datos necesarios.</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Quitar campos no esenciales del formulario y publicar un canal de contacto para ejercer derechos.</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left"/>
            </w:pPr>
            <w:r>
              <w:rPr>
                <w:rFonts w:ascii="Calibri" w:cs="Calibri" w:eastAsia="Calibri" w:hAnsi="Calibri"/>
                <w:sz w:val="16"/>
                <w:szCs w:val="16"/>
              </w:rPr>
              <w:t xml:space="preserve">En curso (#19).</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R8</w:t>
            </w:r>
          </w:p>
        </w:tc>
        <w:tc>
          <w:tcPr>
            <w:tcW w:type="dxa" w:w="267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sz w:val="16"/>
                <w:szCs w:val="16"/>
              </w:rPr>
              <w:t xml:space="preserve">Desactualización de precios por inflación o falta de información del cliente (fotos, stock).</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sz w:val="16"/>
                <w:szCs w:val="16"/>
              </w:rPr>
              <w:t xml:space="preserve">Negocio / Cliente</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sz w:val="16"/>
                <w:szCs w:val="16"/>
              </w:rPr>
              <w:t xml:space="preserve">3</w:t>
            </w:r>
          </w:p>
        </w:tc>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sz w:val="16"/>
                <w:szCs w:val="16"/>
              </w:rPr>
              <w:t xml:space="preserve">1</w:t>
            </w:r>
          </w:p>
        </w:tc>
        <w:tc>
          <w:tcPr>
            <w:tcW w:type="dxa" w:w="1000"/>
            <w:tcBorders>
              <w:top w:val="single" w:color="999999" w:sz="4"/>
              <w:left w:val="single" w:color="999999" w:sz="4"/>
              <w:bottom w:val="single" w:color="999999" w:sz="4"/>
              <w:right w:val="single" w:color="999999" w:sz="4"/>
            </w:tcBorders>
            <w:shd w:fill="FCE7A8"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Media (3)</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sz w:val="16"/>
                <w:szCs w:val="16"/>
              </w:rPr>
              <w:t xml:space="preserve">Centralizar precios en productos.json para actualizarlos desde un único archivo.</w:t>
            </w:r>
          </w:p>
        </w:tc>
        <w:tc>
          <w:tcPr>
            <w:tcW w:type="dxa" w:w="325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sz w:val="16"/>
                <w:szCs w:val="16"/>
              </w:rPr>
              <w:t xml:space="preserve">Leyenda "precios sujetos a modificación" y validación de precios con el emprendimiento antes de cada entrega.</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sz w:val="16"/>
                <w:szCs w:val="16"/>
              </w:rPr>
              <w:t xml:space="preserve">En monitoreo.</w:t>
            </w:r>
          </w:p>
        </w:tc>
      </w:tr>
    </w:tbl>
    <w:p>
      <w:pPr>
        <w:pStyle w:val="Heading2"/>
        <w:keepNext/>
        <w:spacing w:before="0" w:after="0" w:line="480" w:lineRule="auto"/>
        <w:jc w:val="center"/>
      </w:pPr>
      <w:r>
        <w:rPr>
          <w:rFonts w:ascii="Calibri" w:cs="Calibri" w:eastAsia="Calibri" w:hAnsi="Calibri"/>
          <w:b/>
          <w:bCs/>
          <w:sz w:val="22"/>
          <w:szCs w:val="22"/>
        </w:rPr>
        <w:t xml:space="preserve">3. Mapa de calor</w:t>
      </w:r>
    </w:p>
    <w:p>
      <w:pPr>
        <w:spacing w:before="0" w:after="0" w:line="480" w:lineRule="auto"/>
        <w:ind w:firstLine="720"/>
        <w:jc w:val="left"/>
      </w:pPr>
      <w:r>
        <w:rPr>
          <w:rFonts w:ascii="Calibri" w:cs="Calibri" w:eastAsia="Calibri" w:hAnsi="Calibri"/>
          <w:sz w:val="22"/>
          <w:szCs w:val="22"/>
        </w:rPr>
        <w:t xml:space="preserve">Ubicación de cada riesgo según su probabilidad e impacto:</w:t>
      </w:r>
    </w:p>
    <w:p>
      <w:pPr>
        <w:keepNext/>
        <w:spacing w:before="0" w:after="0" w:line="480" w:lineRule="auto"/>
        <w:jc w:val="left"/>
      </w:pPr>
      <w:r>
        <w:rPr>
          <w:rFonts w:ascii="Calibri" w:cs="Calibri" w:eastAsia="Calibri" w:hAnsi="Calibri"/>
          <w:b/>
          <w:bCs/>
          <w:sz w:val="22"/>
          <w:szCs w:val="22"/>
        </w:rPr>
        <w:t xml:space="preserve">Tabla 3</w:t>
      </w:r>
    </w:p>
    <w:p>
      <w:pPr>
        <w:keepNext/>
        <w:spacing w:before="0" w:after="0" w:line="480" w:lineRule="auto"/>
        <w:jc w:val="left"/>
      </w:pPr>
      <w:r>
        <w:rPr>
          <w:rFonts w:ascii="Calibri" w:cs="Calibri" w:eastAsia="Calibri" w:hAnsi="Calibri"/>
          <w:i/>
          <w:iCs/>
          <w:sz w:val="22"/>
          <w:szCs w:val="22"/>
        </w:rPr>
        <w:t xml:space="preserve">Mapa de calor de probabilidad e impacto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c>
          <w:tcPr>
            <w:tcW w:type="dxa" w:w="2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Probabilidad \ Impacto</w:t>
            </w:r>
          </w:p>
        </w:tc>
        <w:tc>
          <w:tcPr>
            <w:tcW w:type="dxa" w:w="24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Bajo (1)</w:t>
            </w:r>
          </w:p>
        </w:tc>
        <w:tc>
          <w:tcPr>
            <w:tcW w:type="dxa" w:w="24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Medio (2)</w:t>
            </w:r>
          </w:p>
        </w:tc>
        <w:tc>
          <w:tcPr>
            <w:tcW w:type="dxa" w:w="24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keepNext/>
              <w:spacing w:after="0"/>
              <w:jc w:val="center"/>
            </w:pPr>
            <w:r>
              <w:rPr>
                <w:rFonts w:ascii="Calibri" w:cs="Calibri" w:eastAsia="Calibri" w:hAnsi="Calibri"/>
                <w:b/>
                <w:bCs/>
                <w:color w:val="FFFFFF"/>
                <w:sz w:val="16"/>
                <w:szCs w:val="16"/>
              </w:rPr>
              <w:t xml:space="preserve">Alto (3)</w:t>
            </w:r>
          </w:p>
        </w:tc>
      </w:tr>
      <w:tr>
        <w:trPr>
          <w:trHeight w:val="600" w:hRule="atLeast"/>
        </w:trP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Alta (3)</w:t>
            </w:r>
          </w:p>
        </w:tc>
        <w:tc>
          <w:tcPr>
            <w:tcW w:type="dxa" w:w="2400"/>
            <w:tcBorders>
              <w:top w:val="single" w:color="999999" w:sz="4"/>
              <w:left w:val="single" w:color="999999" w:sz="4"/>
              <w:bottom w:val="single" w:color="999999" w:sz="4"/>
              <w:right w:val="single" w:color="999999" w:sz="4"/>
            </w:tcBorders>
            <w:shd w:fill="FCE7A8"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8"/>
                <w:szCs w:val="18"/>
              </w:rPr>
              <w:t xml:space="preserve">R8</w:t>
            </w:r>
          </w:p>
        </w:tc>
        <w:tc>
          <w:tcPr>
            <w:tcW w:type="dxa" w:w="24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8"/>
                <w:szCs w:val="18"/>
              </w:rPr>
              <w:t xml:space="preserve">R3</w:t>
            </w:r>
          </w:p>
        </w:tc>
        <w:tc>
          <w:tcPr>
            <w:tcW w:type="dxa" w:w="24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8"/>
                <w:szCs w:val="18"/>
              </w:rPr>
              <w:t xml:space="preserve">R1</w:t>
            </w:r>
          </w:p>
        </w:tc>
      </w:tr>
      <w:tr>
        <w:trPr>
          <w:trHeight w:val="600" w:hRule="atLeast"/>
        </w:trP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keepNext/>
              <w:spacing w:after="0"/>
              <w:jc w:val="center"/>
            </w:pPr>
            <w:r>
              <w:rPr>
                <w:rFonts w:ascii="Calibri" w:cs="Calibri" w:eastAsia="Calibri" w:hAnsi="Calibri"/>
                <w:b/>
                <w:bCs/>
                <w:sz w:val="16"/>
                <w:szCs w:val="16"/>
              </w:rPr>
              <w:t xml:space="preserve">Media (2)</w:t>
            </w:r>
          </w:p>
        </w:tc>
        <w:tc>
          <w:tcPr>
            <w:tcW w:type="dxa" w:w="2400"/>
            <w:tcBorders>
              <w:top w:val="single" w:color="999999" w:sz="4"/>
              <w:left w:val="single" w:color="999999" w:sz="4"/>
              <w:bottom w:val="single" w:color="999999" w:sz="4"/>
              <w:right w:val="single" w:color="999999" w:sz="4"/>
            </w:tcBorders>
            <w:shd w:fill="C8E6C9"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8"/>
                <w:szCs w:val="18"/>
              </w:rPr>
              <w:t xml:space="preserve">—</w:t>
            </w:r>
          </w:p>
        </w:tc>
        <w:tc>
          <w:tcPr>
            <w:tcW w:type="dxa" w:w="2400"/>
            <w:tcBorders>
              <w:top w:val="single" w:color="999999" w:sz="4"/>
              <w:left w:val="single" w:color="999999" w:sz="4"/>
              <w:bottom w:val="single" w:color="999999" w:sz="4"/>
              <w:right w:val="single" w:color="999999" w:sz="4"/>
            </w:tcBorders>
            <w:shd w:fill="FCE7A8"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8"/>
                <w:szCs w:val="18"/>
              </w:rPr>
              <w:t xml:space="preserve">R5</w:t>
            </w:r>
          </w:p>
        </w:tc>
        <w:tc>
          <w:tcPr>
            <w:tcW w:type="dxa" w:w="2400"/>
            <w:tcBorders>
              <w:top w:val="single" w:color="999999" w:sz="4"/>
              <w:left w:val="single" w:color="999999" w:sz="4"/>
              <w:bottom w:val="single" w:color="999999" w:sz="4"/>
              <w:right w:val="single" w:color="999999" w:sz="4"/>
            </w:tcBorders>
            <w:shd w:fill="F4B6B6" w:color="auto" w:val="clear"/>
            <w:tcMar>
              <w:top w:type="dxa" w:w="60"/>
              <w:left w:type="dxa" w:w="80"/>
              <w:bottom w:type="dxa" w:w="60"/>
              <w:right w:type="dxa" w:w="80"/>
            </w:tcMar>
            <w:vAlign w:val="center"/>
          </w:tcPr>
          <w:p>
            <w:pPr>
              <w:keepNext/>
              <w:spacing w:after="0"/>
              <w:jc w:val="center"/>
            </w:pPr>
            <w:r>
              <w:rPr>
                <w:rFonts w:ascii="Calibri" w:cs="Calibri" w:eastAsia="Calibri" w:hAnsi="Calibri"/>
                <w:b/>
                <w:bCs/>
                <w:sz w:val="18"/>
                <w:szCs w:val="18"/>
              </w:rPr>
              <w:t xml:space="preserve">R2, R4, R6</w:t>
            </w:r>
          </w:p>
        </w:tc>
      </w:tr>
      <w:tr>
        <w:trPr>
          <w:trHeight w:val="600" w:hRule="atLeast"/>
        </w:trP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Baja (1)</w:t>
            </w:r>
          </w:p>
        </w:tc>
        <w:tc>
          <w:tcPr>
            <w:tcW w:type="dxa" w:w="2400"/>
            <w:tcBorders>
              <w:top w:val="single" w:color="999999" w:sz="4"/>
              <w:left w:val="single" w:color="999999" w:sz="4"/>
              <w:bottom w:val="single" w:color="999999" w:sz="4"/>
              <w:right w:val="single" w:color="999999" w:sz="4"/>
            </w:tcBorders>
            <w:shd w:fill="C8E6C9" w:color="auto" w:val="clear"/>
            <w:tcMar>
              <w:top w:type="dxa" w:w="60"/>
              <w:left w:type="dxa" w:w="80"/>
              <w:bottom w:type="dxa" w:w="60"/>
              <w:right w:type="dxa" w:w="80"/>
            </w:tcMar>
            <w:vAlign w:val="center"/>
          </w:tcPr>
          <w:p>
            <w:pPr>
              <w:spacing w:after="0"/>
              <w:jc w:val="center"/>
            </w:pPr>
            <w:r>
              <w:rPr>
                <w:rFonts w:ascii="Calibri" w:cs="Calibri" w:eastAsia="Calibri" w:hAnsi="Calibri"/>
                <w:b/>
                <w:bCs/>
                <w:sz w:val="18"/>
                <w:szCs w:val="18"/>
              </w:rPr>
              <w:t xml:space="preserve">—</w:t>
            </w:r>
          </w:p>
        </w:tc>
        <w:tc>
          <w:tcPr>
            <w:tcW w:type="dxa" w:w="2400"/>
            <w:tcBorders>
              <w:top w:val="single" w:color="999999" w:sz="4"/>
              <w:left w:val="single" w:color="999999" w:sz="4"/>
              <w:bottom w:val="single" w:color="999999" w:sz="4"/>
              <w:right w:val="single" w:color="999999" w:sz="4"/>
            </w:tcBorders>
            <w:shd w:fill="C8E6C9" w:color="auto" w:val="clear"/>
            <w:tcMar>
              <w:top w:type="dxa" w:w="60"/>
              <w:left w:type="dxa" w:w="80"/>
              <w:bottom w:type="dxa" w:w="60"/>
              <w:right w:type="dxa" w:w="80"/>
            </w:tcMar>
            <w:vAlign w:val="center"/>
          </w:tcPr>
          <w:p>
            <w:pPr>
              <w:spacing w:after="0"/>
              <w:jc w:val="center"/>
            </w:pPr>
            <w:r>
              <w:rPr>
                <w:rFonts w:ascii="Calibri" w:cs="Calibri" w:eastAsia="Calibri" w:hAnsi="Calibri"/>
                <w:b/>
                <w:bCs/>
                <w:sz w:val="18"/>
                <w:szCs w:val="18"/>
              </w:rPr>
              <w:t xml:space="preserve">—</w:t>
            </w:r>
          </w:p>
        </w:tc>
        <w:tc>
          <w:tcPr>
            <w:tcW w:type="dxa" w:w="2400"/>
            <w:tcBorders>
              <w:top w:val="single" w:color="999999" w:sz="4"/>
              <w:left w:val="single" w:color="999999" w:sz="4"/>
              <w:bottom w:val="single" w:color="999999" w:sz="4"/>
              <w:right w:val="single" w:color="999999" w:sz="4"/>
            </w:tcBorders>
            <w:shd w:fill="FCE7A8" w:color="auto" w:val="clear"/>
            <w:tcMar>
              <w:top w:type="dxa" w:w="60"/>
              <w:left w:type="dxa" w:w="80"/>
              <w:bottom w:type="dxa" w:w="60"/>
              <w:right w:type="dxa" w:w="80"/>
            </w:tcMar>
            <w:vAlign w:val="center"/>
          </w:tcPr>
          <w:p>
            <w:pPr>
              <w:spacing w:after="0"/>
              <w:jc w:val="center"/>
            </w:pPr>
            <w:r>
              <w:rPr>
                <w:rFonts w:ascii="Calibri" w:cs="Calibri" w:eastAsia="Calibri" w:hAnsi="Calibri"/>
                <w:b/>
                <w:bCs/>
                <w:sz w:val="18"/>
                <w:szCs w:val="18"/>
              </w:rPr>
              <w:t xml:space="preserve">R7</w:t>
            </w:r>
          </w:p>
        </w:tc>
      </w:tr>
    </w:tbl>
    <w:p>
      <w:pPr>
        <w:pStyle w:val="Heading2"/>
        <w:keepNext/>
        <w:spacing w:before="0" w:after="0" w:line="480" w:lineRule="auto"/>
        <w:jc w:val="center"/>
      </w:pPr>
      <w:r>
        <w:rPr>
          <w:rFonts w:ascii="Calibri" w:cs="Calibri" w:eastAsia="Calibri" w:hAnsi="Calibri"/>
          <w:b/>
          <w:bCs/>
          <w:sz w:val="22"/>
          <w:szCs w:val="22"/>
        </w:rPr>
        <w:t xml:space="preserve">4. Análisis y seguimiento</w:t>
      </w:r>
    </w:p>
    <w:p>
      <w:pPr>
        <w:spacing w:before="0" w:after="0" w:line="480" w:lineRule="auto"/>
        <w:ind w:firstLine="720"/>
        <w:jc w:val="left"/>
      </w:pPr>
      <w:r>
        <w:rPr>
          <w:rFonts w:ascii="Calibri" w:cs="Calibri" w:eastAsia="Calibri" w:hAnsi="Calibri"/>
          <w:sz w:val="22"/>
          <w:szCs w:val="22"/>
        </w:rPr>
        <w:t xml:space="preserve">Durante el Sprint 2 se materializaron dos de los riesgos identificados. El riesgo R1 (sobrecarga unipersonal) generó el atraso de los entregables previstos para la Semana 4 y del archivo productos.json de la Semana 5; se aplicó su plan de contingencia mediante la repriorización de issues y el apoyo de una herramienta de IA supervisada para la codificación, lo que permite recuperar el cronograma antes de la corrección. El riesgo R4 ocurrió de forma parcial al crearse una rama a partir de otra rama de funcionalidad en lugar de dev; se resolvió ordenando el merge de los Pull Requests, sin pérdida de código. Ambos desvíos se registran también en el Diagrama de Gantt.</w:t>
      </w:r>
    </w:p>
    <w:p>
      <w:pPr>
        <w:spacing w:before="0" w:after="0" w:line="480" w:lineRule="auto"/>
        <w:ind w:firstLine="720"/>
        <w:jc w:val="left"/>
      </w:pPr>
      <w:r>
        <w:rPr>
          <w:rFonts w:ascii="Calibri" w:cs="Calibri" w:eastAsia="Calibri" w:hAnsi="Calibri"/>
          <w:sz w:val="22"/>
          <w:szCs w:val="22"/>
        </w:rPr>
        <w:t xml:space="preserve">Los riesgos restantes permanecen en monitoreo y serán revisados en la Semana 6 para su cierre o traslado al Sprint 3.</w:t>
      </w:r>
    </w:p>
    <w:p>
      <w:pPr>
        <w:pStyle w:val="Heading2"/>
        <w:keepNext/>
        <w:spacing w:before="0" w:after="0" w:line="480" w:lineRule="auto"/>
        <w:jc w:val="center"/>
      </w:pPr>
      <w:r>
        <w:rPr>
          <w:rFonts w:ascii="Calibri" w:cs="Calibri" w:eastAsia="Calibri" w:hAnsi="Calibri"/>
          <w:b/>
          <w:bCs/>
          <w:sz w:val="22"/>
          <w:szCs w:val="22"/>
        </w:rPr>
        <w:t xml:space="preserve">5. Firma de cierre de riesgos (Semana 6)</w:t>
      </w:r>
    </w:p>
    <w:p>
      <w:pPr>
        <w:keepNext/>
        <w:spacing w:before="0" w:after="0" w:line="480" w:lineRule="auto"/>
        <w:ind w:firstLine="720"/>
        <w:jc w:val="left"/>
      </w:pPr>
      <w:r>
        <w:rPr>
          <w:rFonts w:ascii="Calibri" w:cs="Calibri" w:eastAsia="Calibri" w:hAnsi="Calibri"/>
          <w:sz w:val="22"/>
          <w:szCs w:val="22"/>
        </w:rPr>
        <w:t xml:space="preserve">Fecha de revisión: ____ / ____ / 2026</w:t>
      </w:r>
    </w:p>
    <w:p>
      <w:pPr>
        <w:keepNext/>
        <w:spacing w:before="0" w:after="0" w:line="480" w:lineRule="auto"/>
        <w:ind w:firstLine="720"/>
        <w:jc w:val="left"/>
      </w:pPr>
      <w:r>
        <w:rPr>
          <w:rFonts w:ascii="Calibri" w:cs="Calibri" w:eastAsia="Calibri" w:hAnsi="Calibri"/>
          <w:sz w:val="22"/>
          <w:szCs w:val="22"/>
        </w:rPr>
        <w:t xml:space="preserve">______________________________</w:t>
      </w:r>
    </w:p>
    <w:p>
      <w:pPr>
        <w:spacing w:before="0" w:after="0" w:line="480" w:lineRule="auto"/>
        <w:ind w:firstLine="720"/>
        <w:jc w:val="left"/>
      </w:pPr>
      <w:r>
        <w:rPr>
          <w:rFonts w:ascii="Calibri" w:cs="Calibri" w:eastAsia="Calibri" w:hAnsi="Calibri"/>
          <w:sz w:val="22"/>
          <w:szCs w:val="22"/>
        </w:rPr>
        <w:t xml:space="preserve">Molina Juana — Project Manager</w:t>
      </w:r>
    </w:p>
    <w:sectPr>
      <w:headerReference w:type="default" r:id="rId7"/>
      <w:footerReference w:type="default" r:id="rId8"/>
      <w:pgSz w:w="16838" w:h="11906" w:orient="landscape"/>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rPr>
      <w:fldChar w:fldCharType="begin"/>
    </w:r>
    <w:r>
      <w:rPr>
        <w:rFonts w:ascii="Calibri" w:cs="Calibri" w:eastAsia="Calibri" w:hAnsi="Calibri"/>
        <w:sz w:val="22"/>
      </w:rPr>
      <w:instrText xml:space="preserve"> PAGE </w:instrText>
    </w:r>
    <w:r>
      <w:rPr>
        <w:rFonts w:ascii="Calibri" w:cs="Calibri" w:eastAsia="Calibri" w:hAnsi="Calibri"/>
        <w:sz w:val="22"/>
      </w:rPr>
      <w:fldChar w:fldCharType="separate"/>
    </w:r>
    <w:r>
      <w:rPr>
        <w:rFonts w:ascii="Calibri" w:cs="Calibri" w:eastAsia="Calibri" w:hAnsi="Calibri"/>
        <w:sz w:val="22"/>
      </w:rPr>
      <w:t>1</w:t>
    </w:r>
    <w:r>
      <w:rPr>
        <w:rFonts w:ascii="Calibri" w:cs="Calibri" w:eastAsia="Calibri" w:hAnsi="Calibri"/>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22"/>
      <w:szCs w:val="22"/>
    </w:rPr>
  </w:style>
  <w:style w:type="paragraph" w:styleId="Heading2">
    <w:name w:val="Heading 2"/>
    <w:basedOn w:val="Normal"/>
    <w:next w:val="Normal"/>
    <w:qFormat/>
    <w:rPr>
      <w:b/>
      <w:bCs/>
      <w:sz w:val="22"/>
      <w:szCs w:val="22"/>
    </w:rPr>
  </w:style>
  <w:style w:type="paragraph" w:styleId="Heading3">
    <w:name w:val="Heading 3"/>
    <w:basedOn w:val="Normal"/>
    <w:next w:val="Normal"/>
    <w:qFormat/>
    <w:rPr>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2026-09-23T17:17:33.683Z</dcterms:created>
  <dcterms:modified xsi:type="dcterms:W3CDTF">2026-09-23T17:17:33.683Z</dcterms:modified>
</cp:coreProperties>
</file>

<file path=docProps/custom.xml><?xml version="1.0" encoding="utf-8"?>
<Properties xmlns="http://schemas.openxmlformats.org/officeDocument/2006/custom-properties" xmlns:vt="http://schemas.openxmlformats.org/officeDocument/2006/docPropsVTypes"/>
</file>