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drawing>
          <wp:inline distT="0" distB="0" distL="0" distR="0">
            <wp:extent cx="723900" cy="723900"/>
            <wp:effectExtent t="0" r="0" b="0" l="0"/>
            <wp:docPr id="1" name="logo" descr="Logo de Mieles Los Primos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595959"/>
          <w:sz w:val="18"/>
          <w:szCs w:val="18"/>
        </w:rPr>
        <w:t xml:space="preserve">IES "RENÉ FAVALORO" · TECNICATURA SUPERIOR EN DESARROLLO DE SOFTWARE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Proyecto Integrador Interdisciplinar 2026 · Sprint 3 · Dirección y Gestión de Proyectos (Tarea 3.4)</w:t>
      </w: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8A5A00"/>
          <w:sz w:val="38"/>
          <w:szCs w:val="38"/>
        </w:rPr>
        <w:t xml:space="preserve">MATRIZ DE RIESGOS ACTUALIZADA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3B2A00"/>
          <w:sz w:val="26"/>
          <w:szCs w:val="26"/>
        </w:rPr>
        <w:t xml:space="preserve">Registro de Riesgos del Proyecto · Sprint 3</w:t>
      </w:r>
    </w:p>
    <w:p>
      <w:pPr>
        <w:spacing w:after="220"/>
        <w:jc w:val="center"/>
      </w:pPr>
      <w:r>
        <w:rPr>
          <w:rFonts w:ascii="Calibri" w:cs="Calibri" w:eastAsia="Calibri" w:hAnsi="Calibri"/>
          <w:i/>
          <w:iCs/>
          <w:color w:val="000000"/>
          <w:sz w:val="24"/>
          <w:szCs w:val="24"/>
        </w:rPr>
        <w:t xml:space="preserve">Plataforma Web E-Commerce "Los Primos" – Mieles del Impenetrable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770"/>
      </w:tblGrid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3B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Elaborado por</w:t>
            </w:r>
          </w:p>
        </w:tc>
        <w:tc>
          <w:tcPr>
            <w:tcW w:type="dxa" w:w="1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Molina Juana – Project Manager / Scrum Master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3B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Docente</w:t>
            </w:r>
          </w:p>
        </w:tc>
        <w:tc>
          <w:tcPr>
            <w:tcW w:type="dxa" w:w="1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Prof. Erick Gastón Ibáñez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3B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Fecha y versión</w:t>
            </w:r>
          </w:p>
        </w:tc>
        <w:tc>
          <w:tcPr>
            <w:tcW w:type="dxa" w:w="1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 de octubre de 2026 · Versión 1.0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3B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Línea base</w:t>
            </w:r>
          </w:p>
        </w:tc>
        <w:tc>
          <w:tcPr>
            <w:tcW w:type="dxa" w:w="1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Matriz y Registro de Riesgos del Sprint 2 (14/09 al 02/10/2026) y Acta de Constitución del 25/08/2026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3B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Período</w:t>
            </w:r>
          </w:p>
        </w:tc>
        <w:tc>
          <w:tcPr>
            <w:tcW w:type="dxa" w:w="117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Sprint 3 – Semanas 7 a 9 (05/10/2026 al 23/10/2026), con prórroga otorgada por el docente</w:t>
            </w:r>
          </w:p>
        </w:tc>
      </w:tr>
    </w:tbl>
    <w:p>
      <w:pPr>
        <w:keepNext/>
        <w:pBdr>
          <w:bottom w:val="single" w:color="D69E2E" w:sz="8" w:space="4"/>
        </w:pBdr>
        <w:spacing w:after="160" w:before="300"/>
      </w:pPr>
      <w:r>
        <w:rPr>
          <w:rFonts w:ascii="Georgia" w:cs="Georgia" w:eastAsia="Georgia" w:hAnsi="Georgia"/>
          <w:b/>
          <w:bCs/>
          <w:color w:val="8A5A00"/>
          <w:sz w:val="28"/>
          <w:szCs w:val="28"/>
        </w:rPr>
        <w:t xml:space="preserve">1. METODOLOGÍA Y CAMBIOS RESPECTO DEL SPRINT 2</w:t>
      </w:r>
    </w:p>
    <w:p>
      <w:pPr>
        <w:spacing w:after="120" w:before="0" w:line="276"/>
      </w:pPr>
      <w:r>
        <w:rPr>
          <w:rFonts w:ascii="Calibri" w:cs="Calibri" w:eastAsia="Calibri" w:hAnsi="Calibri"/>
          <w:sz w:val="19"/>
          <w:szCs w:val="19"/>
        </w:rPr>
        <w:t xml:space="preserve">Se mantiene la escala del Sprint 2: cada riesgo se evalúa por su probabilidad de ocurrencia (P) y su impacto (I), ambos de 1 (bajo) a 3 (alto), y la prioridad resulta del producto P × I. En esta actualización se hicieron tres cosas: se reevaluaron los ocho riesgos del Sprint 2 (R1 a R8) con lo ocurrido durante el sprint; se agregaron ocho riesgos nuevos (R9 a R16) surgidos de la integración de JavaScript, del plan de pruebas y de los cambios de alcance; y para cada riesgo nuevo se registró la prioridad inicial, las acciones ejecutadas y la prioridad residual una vez aplicadas.</w:t>
      </w:r>
    </w:p>
    <w:p>
      <w:pPr>
        <w:keepNext/>
        <w:spacing w:after="0" w:before="160"/>
      </w:pPr>
      <w:r>
        <w:rPr>
          <w:rFonts w:ascii="Calibri" w:cs="Calibri" w:eastAsia="Calibri" w:hAnsi="Calibri"/>
          <w:b/>
          <w:bCs/>
          <w:color w:val="3B2A00"/>
          <w:sz w:val="20"/>
          <w:szCs w:val="20"/>
        </w:rPr>
        <w:t xml:space="preserve">Tabla 1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Criterios de prioridad y de respuesta a los riesgos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037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5A1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 (P × I)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5A1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Rango</w:t>
            </w:r>
          </w:p>
        </w:tc>
        <w:tc>
          <w:tcPr>
            <w:tcW w:type="dxa" w:w="10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5A1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Criterio de respuesta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 – 9</w:t>
            </w:r>
          </w:p>
        </w:tc>
        <w:tc>
          <w:tcPr>
            <w:tcW w:type="dxa" w:w="10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Acción inmediata y seguimiento semanal en el tablero Kanban.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Media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 – 4</w:t>
            </w:r>
          </w:p>
        </w:tc>
        <w:tc>
          <w:tcPr>
            <w:tcW w:type="dxa" w:w="10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 de acción definido y monitoreo en cada revisión del sprint.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Baja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– 2</w:t>
            </w:r>
          </w:p>
        </w:tc>
        <w:tc>
          <w:tcPr>
            <w:tcW w:type="dxa" w:w="103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keepNext/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Aceptación del riesgo con revisión al cierre del sprint.</w:t>
            </w:r>
          </w:p>
        </w:tc>
      </w:tr>
    </w:tbl>
    <w:p>
      <w:pPr>
        <w:keepNext/>
        <w:pBdr>
          <w:bottom w:val="single" w:color="D69E2E" w:sz="8" w:space="4"/>
        </w:pBdr>
        <w:spacing w:after="160" w:before="300"/>
      </w:pPr>
      <w:r>
        <w:rPr>
          <w:rFonts w:ascii="Georgia" w:cs="Georgia" w:eastAsia="Georgia" w:hAnsi="Georgia"/>
          <w:b/>
          <w:bCs/>
          <w:color w:val="8A5A00"/>
          <w:sz w:val="28"/>
          <w:szCs w:val="28"/>
        </w:rPr>
        <w:t xml:space="preserve">2. REEVALUACIÓN DE LOS RIESGOS DEL SPRINT 2</w:t>
      </w:r>
    </w:p>
    <w:p>
      <w:pPr>
        <w:spacing w:after="120" w:before="0" w:line="276"/>
      </w:pPr>
      <w:r>
        <w:rPr>
          <w:rFonts w:ascii="Calibri" w:cs="Calibri" w:eastAsia="Calibri" w:hAnsi="Calibri"/>
          <w:sz w:val="19"/>
          <w:szCs w:val="19"/>
        </w:rPr>
        <w:t xml:space="preserve">La columna "Sprint 2" conserva la evaluación anterior para poder comparar. La prioridad del Sprint 3 refleja la situación al cierre del sprint.</w:t>
      </w:r>
    </w:p>
    <w:p>
      <w:pPr>
        <w:keepNext/>
        <w:spacing w:after="0" w:before="160"/>
      </w:pPr>
      <w:r>
        <w:rPr>
          <w:rFonts w:ascii="Calibri" w:cs="Calibri" w:eastAsia="Calibri" w:hAnsi="Calibri"/>
          <w:b/>
          <w:bCs/>
          <w:color w:val="3B2A00"/>
          <w:sz w:val="20"/>
          <w:szCs w:val="20"/>
        </w:rPr>
        <w:t xml:space="preserve">Tabla 2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Reevaluación de los riesgos R1 a R8 en el Sprint 3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950"/>
        <w:gridCol w:w="450"/>
        <w:gridCol w:w="450"/>
        <w:gridCol w:w="1000"/>
        <w:gridCol w:w="1000"/>
        <w:gridCol w:w="3900"/>
        <w:gridCol w:w="3420"/>
      </w:tblGrid>
      <w:tr>
        <w:trPr>
          <w:cantSplit/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5A1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5A1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Riesgo (Sprint 2)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5A1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 2 (P × I)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5A1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5A1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5A1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 Sprint 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5A1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Tendencia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5A1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Acciones realizadas en el Sprint 3</w:t>
            </w:r>
          </w:p>
        </w:tc>
        <w:tc>
          <w:tcPr>
            <w:tcW w:type="dxa" w:w="3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5A1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 y estado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3B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Sobrecarga de tareas por desarrollo unipersonal (PM, desarrolladora y compliance en simultáneo).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 × 3 = 9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Alta (9)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= Igual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Issues pequeñas con una rama por issue; división del trabajo entre el código (asistido por herramienta de IA supervisada) y los informes escritos; la CR-04 se difirió al Sprint 4 y la CR-02 se absorbió sin mover la fecha (Control de Cambios). La carga igual superó la capacidad del sprint: se pidió prórroga al docente (ver R16).</w:t>
            </w:r>
          </w:p>
        </w:tc>
        <w:tc>
          <w:tcPr>
            <w:tcW w:type="dxa" w:w="3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Materializado por segunda vez. Sin cambio de prioridad: se mantiene Alta y pasa al Sprint 4 con seguimiento semanal.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3B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Oposición de marca "Los Primos" en Clase 30 del INPI por similitud fonética.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× 3 = 6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Alta (6)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= Igual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 mantiene el monitoreo del Boletín de Marcas definido en el Sprint 2. El sprint no incorporó acciones nuevas sobre este riesgo.</w:t>
            </w:r>
          </w:p>
        </w:tc>
        <w:tc>
          <w:tcPr>
            <w:tcW w:type="dxa" w:w="3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 cambios: se mantiene en monitoreo. Plan de contingencia vigente (nombre alternativo que conserve el dominio).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3B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Complejidad técnica de integrar Mercado Pago sobre un sitio estático.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 × 2 = 6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Baja (2)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↓ Baja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CR-01: el alcance del Sprint 3 pasa a JavaScript puro con checkout simulado; el backend y la pasarela real salen del sprint. Para que el sitio no parezca incompleto (riesgo derivado de CR-01) el diseño del pago se documenta como proyección futura.</w:t>
            </w:r>
          </w:p>
        </w:tc>
        <w:tc>
          <w:tcPr>
            <w:tcW w:type="dxa" w:w="3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Reducido. Deja de ser un riesgo del sprint, pero la integración real queda como proyección del Sprint 4. La CR-01 requiere validación del docente por retirar una funcionalidad del Acta.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3B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Errores de ramas o pérdida de código en Git (ramas mal bifurcadas, conflictos al mergear).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× 3 = 6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Media (3)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↓ Baja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 aplicó el flujo fijo: una rama por issue desde dev, Pull Request por cada corrección y main solo para entregas (por ejemplo issue #61, issue #77 con PR #78 y PR #80).</w:t>
            </w:r>
          </w:p>
        </w:tc>
        <w:tc>
          <w:tcPr>
            <w:tcW w:type="dxa" w:w="3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Reducido: el flujo de ramas quedó consolidado. El impacto potencial sigue siendo alto, por eso se mantiene en monitoreo.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3B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Visualización deficiente en dispositivos móviles (ruptura del layout en pantallas chicas).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× 2 = 4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Media (4)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= Igual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Pruebas de navegación adaptable a 360, 768 y 1280 px dentro del plan de pruebas. El caso CP-RES-01 detectó que una URL larga desbordaba terminos.html a 360 px y se corrigió en la issue #77.</w:t>
            </w:r>
          </w:p>
        </w:tc>
        <w:tc>
          <w:tcPr>
            <w:tcW w:type="dxa" w:w="3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 cambio de prioridad. Abierto hasta ejecutar CP-RES-07 en un celular real, la única prueba pendiente.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3B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Dependencia de herramientas de IA para generar código (errores no detectados o código que no puede justificarse).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 × 3 = 6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Alta (6)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= Igual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Revisión manual de cada PR y plan de 63 casos de prueba como control de calidad. La ejecución halló 3 defectos (CP-CAR-14, CP-REG-05 y CP-RES-01) que el código generado no había contemplado; se corrigieron.</w:t>
            </w:r>
          </w:p>
        </w:tc>
        <w:tc>
          <w:tcPr>
            <w:tcW w:type="dxa" w:w="3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 cambio de prioridad: los defectos hallados confirman la necesidad de mantener la revisión manual y las pruebas. En monitoreo.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3B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Incumplimiento de la Ley 25.326 en el tratamiento de los datos personales del checkout.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 × 3 = 3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Media (3)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= Igual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Los Términos y Condiciones incorporan la cláusula 12 de protección de datos y la casilla obligatoria de aceptación en el checkout. Falta completar los datos del titular del proveedor (titular, CUIT, domicilio, contacto y registros sanitarios) antes de publicar.</w:t>
            </w:r>
          </w:p>
        </w:tc>
        <w:tc>
          <w:tcPr>
            <w:tcW w:type="dxa" w:w="3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 cambio de prioridad. Se cierra cuando los datos del titular estén completos y los T&amp;C integrados en el footer.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3B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Desactualización de precios por inflación o falta de información del cliente.</w:t>
            </w:r>
          </w:p>
        </w:tc>
        <w:tc>
          <w:tcPr>
            <w:tcW w:type="dxa" w:w="9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 × 1 = 3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Media (3)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= Igual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Los precios siguen centralizados en data/productos.json y el catálogo los lee dinámicamente. Un producto (caja de madera con 6 botellas) figura como "Precio a confirmar".</w:t>
            </w:r>
          </w:p>
        </w:tc>
        <w:tc>
          <w:tcPr>
            <w:tcW w:type="dxa" w:w="3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Sin cambio de prioridad. Pendiente validar los precios y el de la caja con el emprendimiento antes de la entrega final.</w:t>
            </w:r>
          </w:p>
        </w:tc>
      </w:tr>
    </w:tbl>
    <w:p>
      <w:pPr>
        <w:keepNext/>
        <w:pBdr>
          <w:bottom w:val="single" w:color="D69E2E" w:sz="8" w:space="4"/>
        </w:pBdr>
        <w:spacing w:after="160" w:before="300"/>
      </w:pPr>
      <w:r>
        <w:rPr>
          <w:rFonts w:ascii="Georgia" w:cs="Georgia" w:eastAsia="Georgia" w:hAnsi="Georgia"/>
          <w:b/>
          <w:bCs/>
          <w:color w:val="8A5A00"/>
          <w:sz w:val="28"/>
          <w:szCs w:val="28"/>
        </w:rPr>
        <w:t xml:space="preserve">3. RIESGOS NUEVOS DEL SPRINT 3</w:t>
      </w:r>
    </w:p>
    <w:p>
      <w:pPr>
        <w:spacing w:after="120" w:before="0" w:line="276"/>
      </w:pPr>
      <w:r>
        <w:rPr>
          <w:rFonts w:ascii="Calibri" w:cs="Calibri" w:eastAsia="Calibri" w:hAnsi="Calibri"/>
          <w:sz w:val="19"/>
          <w:szCs w:val="19"/>
        </w:rPr>
        <w:t xml:space="preserve">Los riesgos R9 a R12 surgen de la integración de JavaScript (consumo asincrónico de productos.json, módulos ES y carrito). R13 a R16 provienen del plan de pruebas, de los cambios de alcance y del cronograma. La prioridad inicial es la que tenía el riesgo al identificarse; la residual, la que queda luego de las acciones.</w:t>
      </w:r>
    </w:p>
    <w:p>
      <w:pPr>
        <w:keepNext/>
        <w:spacing w:after="0" w:before="160"/>
      </w:pPr>
      <w:r>
        <w:rPr>
          <w:rFonts w:ascii="Calibri" w:cs="Calibri" w:eastAsia="Calibri" w:hAnsi="Calibri"/>
          <w:b/>
          <w:bCs/>
          <w:color w:val="3B2A00"/>
          <w:sz w:val="20"/>
          <w:szCs w:val="20"/>
        </w:rPr>
        <w:t xml:space="preserve">Tabla 3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Riesgos nuevos, acciones y resultado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1000"/>
        <w:gridCol w:w="420"/>
        <w:gridCol w:w="420"/>
        <w:gridCol w:w="900"/>
        <w:gridCol w:w="3300"/>
        <w:gridCol w:w="2850"/>
        <w:gridCol w:w="1000"/>
        <w:gridCol w:w="1380"/>
      </w:tblGrid>
      <w:tr>
        <w:trPr>
          <w:cantSplit/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5A1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5A1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Riesgo nuevo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5A1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5A1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5A1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5A1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 inicial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5A1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Plan de acción y contingencia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5A1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5A1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Prioridad residual (P × I)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5A1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3B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R9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 fetch de productos.json falla al abrir el HTML con doble clic (protocolo file://).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Técnico</w:t>
            </w:r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Alta (6)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Acción: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abrir y probar el sitio con Live Server y publicarlo en GitHub Pages.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Contingencia: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 sitio muestra un mensaje de error en lugar de quedar en blanco y se usa la versión publicada.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Mitigado: las pruebas se ejecutan con Live Server y la demo y la evaluación pueden hacerse sobre la versión publicada en GitHub Pages.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 × 2: Baja (2)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Mitigado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3B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R10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Los módulos ES (type="module") tampoco cargan en file:// por restricciones de CORS.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Técnico</w:t>
            </w:r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Alta (6)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Acción: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misma mitigación que R9 (Live Server y GitHub Pages); es un efecto de la CR-03, la migración a módulos ES.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Contingencia: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usar la versión publicada en GitHub Pages.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Mitigado: el código modular funciona servido por HTTP, que es como se prueba y se publica.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 × 2: Baja (2)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Mitigado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3B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R11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localStorage bloqueado o vacío (por ejemplo, navegación en modo privado), que impide guardar el carrito.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Técnico</w:t>
            </w:r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Media (4)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Acción: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lectura y escritura de localStorage va dentro de try/catch y el carrito arranca vacío si no hay datos o el acceso falla.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Contingencia: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 usuario vuelve a armar el carrito; no se pierde ningún pedido porque la compra es simulada.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Mitigado: el sitio no se rompe sin almacenamiento; el único efecto residual es que el carrito no persiste entre sesiones.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 × 1: Baja (2)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Mitigado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3B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R12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 productos.json mal formado rompe el catálogo.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Técnico / Datos</w:t>
            </w:r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Alta (6)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Acción: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validar el JSON antes de subirlo y mostrar un mensaje de error en la página si no se puede leer.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Contingencia: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recuperar la última versión válida del archivo desde el historial de Git.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Mitigado: el caso CP-CAT-07 (JSON con error de lectura simulado) muestra el mensaje y la página no queda en blanco. Si el JSON falla, el catálogo igual no se ve.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 × 2: Media (4)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Mitigado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3B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R13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Defectos de calidad detectados por el plan de pruebas (63 casos, ejecutado el 20/10).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Calidad</w:t>
            </w:r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Alta (6)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Acción: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registrar cada defecto como issue, corregirlo en una rama propia y re-ejecutar el plan (ver Tabla 4).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Contingencia: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repetir el plan completo después de cada corrección o cambio visual.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Corregido en la issue #77 (PR #78). Re-ejecución: 62 casos aprobados y 1 pendiente (CP-RES-07, falta probarlo en un celular real).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 × 2: Baja (2)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Corregido; 1 caso pendiente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3B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R14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Cambio de alcance: el rediseño visual (CR-05) se adelantó del Sprint 4 al Sprint 3 y obligó a re-ejecutar las pruebas.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Alcance</w:t>
            </w:r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Alta (6)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Acción: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gestionar el cambio como CR-05 (+4 hs) en el Control de Cambios, implementarlo en el PR #80 y re-ejecutar el plan de pruebas.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Contingencia: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compensar diferiendo la CR-04 al Sprint 4.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Materializado y cerrado: el rediseño se implementó y las pruebas se re-ejecutaron sin mover la fecha de entrega original por esta causa.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 × 2: Baja (2)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Cerrado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3B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R15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 CR-04 (analítica del sitio) se difirió: los KPIs se miden con conteo manual, con mayor margen de error y sin datos automáticos del embudo.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Medición</w:t>
            </w:r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Alta (6)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Acción: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definir las fuentes de cada KPI (Instagram Insights, parámetros UTM y conteo manual en el sitio) y un registro semanal en el Panel de KPIs.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Contingencia: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retomar la CR-04 en el Sprint 4.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Aceptado: el panel documenta el método de conteo y los datos del ejemplo son simulados. Se transfiere al Sprint 4.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 × 1: Baja (2)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Aceptado; pasa al Sprint 4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3B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R16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Entrega del Sprint 3 atrasada por la carga de una desarrolladora única (consecuencia de R1).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Tiempos</w:t>
            </w:r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Alta (9)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Acción: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solicitar prórroga al docente (modificar una fecha institucional requiere su aprobación, según el Acta) y repriorizar las tareas pendientes.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Contingencia: 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diferir la CR-04 y cerrar primero los entregables obligatorios de la consigna.</w:t>
            </w:r>
          </w:p>
        </w:tc>
        <w:tc>
          <w:tcPr>
            <w:tcW w:type="dxa" w:w="2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Materializado: se pidió la prórroga y el docente otorgó tiempo extra. El riesgo sigue activo hasta entregar la carpeta final.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 × 3: Alta (6)</w:t>
            </w:r>
          </w:p>
        </w:tc>
        <w:tc>
          <w:tcPr>
            <w:tcW w:type="dxa" w:w="13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Materializado; prórroga otorgada</w:t>
            </w:r>
          </w:p>
        </w:tc>
      </w:tr>
    </w:tbl>
    <w:p>
      <w:pPr>
        <w:keepNext/>
        <w:pBdr>
          <w:bottom w:val="single" w:color="D69E2E" w:sz="8" w:space="4"/>
        </w:pBdr>
        <w:spacing w:after="160" w:before="300"/>
      </w:pPr>
      <w:r>
        <w:rPr>
          <w:rFonts w:ascii="Georgia" w:cs="Georgia" w:eastAsia="Georgia" w:hAnsi="Georgia"/>
          <w:b/>
          <w:bCs/>
          <w:color w:val="8A5A00"/>
          <w:sz w:val="28"/>
          <w:szCs w:val="28"/>
        </w:rPr>
        <w:t xml:space="preserve">4. DEFECTOS DEL PLAN DE PRUEBAS Y SU CORRECCIÓN</w:t>
      </w:r>
    </w:p>
    <w:p>
      <w:pPr>
        <w:spacing w:after="120" w:before="0" w:line="276"/>
      </w:pPr>
      <w:r>
        <w:rPr>
          <w:rFonts w:ascii="Calibri" w:cs="Calibri" w:eastAsia="Calibri" w:hAnsi="Calibri"/>
          <w:sz w:val="19"/>
          <w:szCs w:val="19"/>
        </w:rPr>
        <w:t xml:space="preserve">El plan de 63 casos se ejecutó el 20/10/2026 y encontró 3 defectos, corregidos en la issue #77 (PR #78). La re-ejecución dio 62 casos aprobados y 1 pendiente. Después del rediseño visual (CR-05, PR #80) las pruebas se volvieron a ejecutar.</w:t>
      </w:r>
    </w:p>
    <w:p>
      <w:pPr>
        <w:keepNext/>
        <w:spacing w:after="0" w:before="160"/>
      </w:pPr>
      <w:r>
        <w:rPr>
          <w:rFonts w:ascii="Calibri" w:cs="Calibri" w:eastAsia="Calibri" w:hAnsi="Calibri"/>
          <w:b/>
          <w:bCs/>
          <w:color w:val="3B2A00"/>
          <w:sz w:val="20"/>
          <w:szCs w:val="20"/>
        </w:rPr>
        <w:t xml:space="preserve">Tabla 4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Defectos detectados y estado tras la re-ejecución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400"/>
        <w:gridCol w:w="5100"/>
        <w:gridCol w:w="2570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5A1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5A1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Defecto o motivo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5A1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Corrección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5A1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Estado tras la re-ejecución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3B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CP-CAR-14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 podía cargar una cantidad negativa en el carrito.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Corregido en la issue #77 (PR #78) y re-ejecutado.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3B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CP-REG-05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El número de pedido del formulario de arrepentimiento aceptaba cualquier formato.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Corregido en la issue #77 (PR #78) y re-ejecutado.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3B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CP-RES-01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Una URL larga desbordaba terminos.html en pantallas de 360 px.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Corregido en la issue #77 (PR #78) y re-ejecutado.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Aprobado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3B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CP-RES-07</w:t>
            </w:r>
          </w:p>
        </w:tc>
        <w:tc>
          <w:tcPr>
            <w:tcW w:type="dxa" w:w="5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Prueba responsive en un celular real (no es un defecto: pendiente de ejecución).</w:t>
            </w:r>
          </w:p>
        </w:tc>
        <w:tc>
          <w:tcPr>
            <w:tcW w:type="dxa" w:w="5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BF6E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ejecutar manualmente en un celular Android.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Pendiente</w:t>
            </w:r>
          </w:p>
        </w:tc>
      </w:tr>
    </w:tbl>
    <w:p>
      <w:pPr>
        <w:keepNext/>
        <w:pBdr>
          <w:bottom w:val="single" w:color="D69E2E" w:sz="8" w:space="4"/>
        </w:pBdr>
        <w:spacing w:after="160" w:before="300"/>
      </w:pPr>
      <w:r>
        <w:rPr>
          <w:rFonts w:ascii="Georgia" w:cs="Georgia" w:eastAsia="Georgia" w:hAnsi="Georgia"/>
          <w:b/>
          <w:bCs/>
          <w:color w:val="8A5A00"/>
          <w:sz w:val="28"/>
          <w:szCs w:val="28"/>
        </w:rPr>
        <w:t xml:space="preserve">5. MAPA DE CALOR AL CIERRE DEL SPRINT 3</w:t>
      </w:r>
    </w:p>
    <w:p>
      <w:pPr>
        <w:spacing w:after="120" w:before="0" w:line="276"/>
      </w:pPr>
      <w:r>
        <w:rPr>
          <w:rFonts w:ascii="Calibri" w:cs="Calibri" w:eastAsia="Calibri" w:hAnsi="Calibri"/>
          <w:sz w:val="19"/>
          <w:szCs w:val="19"/>
        </w:rPr>
        <w:t xml:space="preserve">Ubicación de cada riesgo según su prioridad vigente al cierre: la reevaluada para R1 a R8 y la residual para R9 a R16.</w:t>
      </w:r>
    </w:p>
    <w:p>
      <w:pPr>
        <w:keepNext/>
        <w:spacing w:after="0" w:before="160"/>
      </w:pPr>
      <w:r>
        <w:rPr>
          <w:rFonts w:ascii="Calibri" w:cs="Calibri" w:eastAsia="Calibri" w:hAnsi="Calibri"/>
          <w:b/>
          <w:bCs/>
          <w:color w:val="3B2A00"/>
          <w:sz w:val="20"/>
          <w:szCs w:val="20"/>
        </w:rPr>
        <w:t xml:space="preserve">Tabla 5</w:t>
      </w:r>
    </w:p>
    <w:p>
      <w:pPr>
        <w:keepNext/>
        <w:spacing w:after="8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Mapa de calor de probabilidad e impacto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0"/>
        <w:gridCol w:w="3800"/>
        <w:gridCol w:w="3800"/>
        <w:gridCol w:w="3800"/>
      </w:tblGrid>
      <w:tr>
        <w:trPr>
          <w:cantSplit/>
          <w:tblHeader/>
        </w:trPr>
        <w:tc>
          <w:tcPr>
            <w:tcW w:type="dxa" w:w="3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5A1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Probabilidad \ Impacto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5A1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Bajo (1)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5A1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Medio (2)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7A5A12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/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Alto (3)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3B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Alta (3)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R8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—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R1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3B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Media (2)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R11, R15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R5, R12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R2, R6, R16</w:t>
            </w:r>
          </w:p>
        </w:tc>
      </w:tr>
      <w:tr>
        <w:trPr>
          <w:cantSplit/>
        </w:trPr>
        <w:tc>
          <w:tcPr>
            <w:tcW w:type="dxa" w:w="3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E3B8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Baja (1)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—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R3, R9, R10, R13, R14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R4, R7</w:t>
            </w:r>
          </w:p>
        </w:tc>
      </w:tr>
    </w:tbl>
    <w:p>
      <w:pPr>
        <w:keepNext/>
        <w:pBdr>
          <w:bottom w:val="single" w:color="D69E2E" w:sz="8" w:space="4"/>
        </w:pBdr>
        <w:spacing w:after="160" w:before="300"/>
      </w:pPr>
      <w:r>
        <w:rPr>
          <w:rFonts w:ascii="Georgia" w:cs="Georgia" w:eastAsia="Georgia" w:hAnsi="Georgia"/>
          <w:b/>
          <w:bCs/>
          <w:color w:val="8A5A00"/>
          <w:sz w:val="28"/>
          <w:szCs w:val="28"/>
        </w:rPr>
        <w:t xml:space="preserve">6. ANÁLISIS Y SEGUIMIENTO</w:t>
      </w:r>
    </w:p>
    <w:p>
      <w:pPr>
        <w:spacing w:after="120" w:before="0" w:line="276"/>
      </w:pPr>
      <w:r>
        <w:rPr>
          <w:rFonts w:ascii="Calibri" w:cs="Calibri" w:eastAsia="Calibri" w:hAnsi="Calibri"/>
          <w:sz w:val="19"/>
          <w:szCs w:val="19"/>
        </w:rPr>
        <w:t xml:space="preserve">Durante el Sprint 3 se materializaron cuatro riesgos: R1 (sobrecarga unipersonal) y su consecuencia R16 (entrega atrasada), R13 (defectos detectados por las pruebas) y R14 (cambio de alcance por la CR-05). Los dos primeros se gestionaron con la repriorización de tareas, el diferimiento de la CR-04 y el pedido de prórroga, que el docente otorgó. Los otros dos se resolvieron dentro del sprint: los defectos se corrigieron y las pruebas se re-ejecutaron.</w:t>
      </w:r>
    </w:p>
    <w:p>
      <w:pPr>
        <w:spacing w:after="120" w:before="0" w:line="276"/>
      </w:pPr>
      <w:r>
        <w:rPr>
          <w:rFonts w:ascii="Calibri" w:cs="Calibri" w:eastAsia="Calibri" w:hAnsi="Calibri"/>
          <w:sz w:val="19"/>
          <w:szCs w:val="19"/>
        </w:rPr>
        <w:t xml:space="preserve">Los riesgos técnicos nuevos de la integración (R9, R10, R11 y R12) quedaron mitigados con Live Server, GitHub Pages, el manejo de errores del carrito y la validación del JSON. Bajaron de prioridad R3, por el cambio de stack de la CR-01, y R4, por el flujo de ramas con Pull Requests.</w:t>
      </w:r>
    </w:p>
    <w:p>
      <w:pPr>
        <w:spacing w:after="120" w:before="0" w:line="276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Pasan al Sprint 4: </w:t>
      </w:r>
      <w:r>
        <w:rPr>
          <w:rFonts w:ascii="Calibri" w:cs="Calibri" w:eastAsia="Calibri" w:hAnsi="Calibri"/>
          <w:sz w:val="19"/>
          <w:szCs w:val="19"/>
        </w:rPr>
        <w:t xml:space="preserve">R1 y R16 (prioridad Alta), R2 y R6 (monitoreo), R5 (falta ejecutar CP-RES-07 en un celular real), R7 (completar los datos del titular en los Términos y Condiciones), R8 (validar precios), R15 (retomar la analítica de la CR-04) y la integración real del pago ligada a R3, sujeta a la validación docente de la CR-01.</w:t>
      </w:r>
    </w:p>
    <w:p>
      <w:pPr>
        <w:keepNext/>
        <w:pBdr>
          <w:bottom w:val="single" w:color="D69E2E" w:sz="8" w:space="4"/>
        </w:pBdr>
        <w:spacing w:after="160" w:before="300"/>
      </w:pPr>
      <w:r>
        <w:rPr>
          <w:rFonts w:ascii="Georgia" w:cs="Georgia" w:eastAsia="Georgia" w:hAnsi="Georgia"/>
          <w:b/>
          <w:bCs/>
          <w:color w:val="8A5A00"/>
          <w:sz w:val="28"/>
          <w:szCs w:val="28"/>
        </w:rPr>
        <w:t xml:space="preserve">7. FIRMA DE CIERRE DE RIESGOS</w:t>
      </w:r>
    </w:p>
    <w:p>
      <w:pPr>
        <w:spacing w:after="360" w:before="120"/>
      </w:pPr>
      <w:r>
        <w:rPr>
          <w:rFonts w:ascii="Calibri" w:cs="Calibri" w:eastAsia="Calibri" w:hAnsi="Calibri"/>
          <w:sz w:val="19"/>
          <w:szCs w:val="19"/>
        </w:rPr>
        <w:t xml:space="preserve">Fecha de revisión: ____ / ____ / 2026</w:t>
      </w:r>
    </w:p>
    <w:p>
      <w:pPr>
        <w:spacing w:after="20" w:before="0"/>
      </w:pPr>
      <w:r>
        <w:rPr>
          <w:rFonts w:ascii="Calibri" w:cs="Calibri" w:eastAsia="Calibri" w:hAnsi="Calibri"/>
          <w:sz w:val="19"/>
          <w:szCs w:val="19"/>
        </w:rPr>
        <w:t xml:space="preserve">______________________________</w:t>
      </w:r>
    </w:p>
    <w:p>
      <w:pPr>
        <w:spacing w:after="36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Molina Juana</w:t>
      </w:r>
      <w:r>
        <w:rPr>
          <w:rFonts w:ascii="Calibri" w:cs="Calibri" w:eastAsia="Calibri" w:hAnsi="Calibri"/>
          <w:sz w:val="19"/>
          <w:szCs w:val="19"/>
        </w:rPr>
        <w:t xml:space="preserve"> — Project Manager</w:t>
      </w:r>
    </w:p>
    <w:p>
      <w:pPr>
        <w:spacing w:after="20" w:before="0"/>
      </w:pPr>
      <w:r>
        <w:rPr>
          <w:rFonts w:ascii="Calibri" w:cs="Calibri" w:eastAsia="Calibri" w:hAnsi="Calibri"/>
          <w:sz w:val="19"/>
          <w:szCs w:val="19"/>
        </w:rPr>
        <w:t xml:space="preserve">______________________________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Prof. Erick Gastón Ibáñez</w:t>
      </w:r>
      <w:r>
        <w:rPr>
          <w:rFonts w:ascii="Calibri" w:cs="Calibri" w:eastAsia="Calibri" w:hAnsi="Calibri"/>
          <w:sz w:val="19"/>
          <w:szCs w:val="19"/>
        </w:rPr>
        <w:t xml:space="preserve"> — Docente, Cátedras de 3er Año, IES "René Favaloro"</w:t>
      </w:r>
    </w:p>
    <w:sectPr>
      <w:headerReference w:type="default" r:id="rId7"/>
      <w:footerReference w:type="default" r:id="rId8"/>
      <w:pgSz w:w="16838" w:h="11906" w:orient="landscape"/>
      <w:pgMar w:top="13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5A00"/>
        <w:sz w:val="16"/>
        <w:szCs w:val="16"/>
      </w:rPr>
      <w:t xml:space="preserve">Página </w:t>
    </w:r>
    <w:r>
      <w:rPr>
        <w:rFonts w:ascii="Calibri" w:cs="Calibri" w:eastAsia="Calibri" w:hAnsi="Calibri"/>
        <w:color w:val="8A5A0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A5A00"/>
        <w:sz w:val="16"/>
        <w:szCs w:val="16"/>
      </w:rPr>
      <w:t xml:space="preserve"> de </w:t>
    </w:r>
    <w:r>
      <w:rPr>
        <w:rFonts w:ascii="Calibri" w:cs="Calibri" w:eastAsia="Calibri" w:hAnsi="Calibri"/>
        <w:color w:val="8A5A0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9E2E" w:sz="8" w:space="4"/>
      </w:pBdr>
      <w:jc w:val="right"/>
    </w:pPr>
    <w:r>
      <w:rPr>
        <w:rFonts w:ascii="Calibri" w:cs="Calibri" w:eastAsia="Calibri" w:hAnsi="Calibri"/>
        <w:color w:val="8A5A00"/>
        <w:sz w:val="16"/>
        <w:szCs w:val="16"/>
      </w:rPr>
      <w:t xml:space="preserve">Matriz de Riesgos · Mieles "Los Primos" · Sprint 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b934622433b21bce2e0aa8aef534b542650484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Riesgos Actualizada – Sprint 3 – Los Primos</dc:title>
  <dc:creator>Molina Juana</dc:creator>
  <cp:lastModifiedBy>Un-named</cp:lastModifiedBy>
  <cp:revision>1</cp:revision>
  <dcterms:created xsi:type="dcterms:W3CDTF">2026-10-26T17:34:14.573Z</dcterms:created>
  <dcterms:modified xsi:type="dcterms:W3CDTF">2026-10-26T17:34:14.573Z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