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366F1"/>
          <w:sz w:val="44"/>
        </w:rPr>
        <w:t>FAMA AI - FAMA-FRENCH 3-FACTOR STOCK ANALYSIS PLATFORM</w:t>
      </w:r>
    </w:p>
    <w:p>
      <w:pPr>
        <w:spacing w:after="480"/>
        <w:jc w:val="center"/>
      </w:pPr>
      <w:r>
        <w:rPr>
          <w:rFonts w:ascii="Arial" w:hAnsi="Arial"/>
          <w:i/>
          <w:color w:val="64748B"/>
          <w:sz w:val="24"/>
        </w:rPr>
        <w:t>Empirical OLS Regression and Technical Design Report for Tata Motors</w:t>
      </w:r>
    </w:p>
    <w:p>
      <w:pPr>
        <w:spacing w:after="480"/>
        <w:jc w:val="center"/>
      </w:pPr>
      <w:r>
        <w:rPr>
          <w:color w:val="E2E8F0"/>
        </w:rPr>
        <w:t>__________________________________________________________________</w:t>
      </w:r>
    </w:p>
    <w:p>
      <w:pPr>
        <w:pStyle w:val="Heading1"/>
        <w:keepNext/>
        <w:spacing w:before="240" w:after="120"/>
      </w:pPr>
      <w:r>
        <w:rPr>
          <w:rFonts w:ascii="Arial" w:hAnsi="Arial"/>
          <w:color w:val="1E293B"/>
          <w:sz w:val="32"/>
        </w:rPr>
        <w:t>1. Project Overview and Empirical Context</w:t>
      </w:r>
    </w:p>
    <w:p>
      <w:pPr>
        <w:spacing w:line="276" w:lineRule="auto" w:after="160"/>
      </w:pPr>
      <w:r>
        <w:t>FAMA AI is a premium, web-based analytics platform designed for academic and professional equity research. The platform automates the Fama-French 3-Factor Ordinary Least Squares (OLS) regression model, enabling users to upload custom financial datasets or evaluate built-in NIFTY 50 stock records. The primary objective is to translate complex quantitative statistical data into actionable financial insights.</w:t>
      </w:r>
    </w:p>
    <w:p>
      <w:pPr>
        <w:spacing w:line="276" w:lineRule="auto" w:after="240"/>
      </w:pPr>
      <w:r>
        <w:t>Historically, the Capital Asset Pricing Model (CAPM) explained equity returns solely using a single factor: market risk (Beta). However, empirical anomalies showed that CAPM failed to explain differences in returns across various assets. In 1992, Eugene Fama and Kenneth French introduced the 3-Factor model, expanding on CAPM by adding size risk and value risk factors. This project provides a robust, zero-configuration local platform to run these regressions, interpret coefficients, and download audit-ready PDF reports.</w:t>
      </w:r>
    </w:p>
    <w:p>
      <w:pPr>
        <w:pStyle w:val="Heading1"/>
        <w:keepNext/>
        <w:spacing w:before="240" w:after="120"/>
      </w:pPr>
      <w:r>
        <w:rPr>
          <w:rFonts w:ascii="Arial" w:hAnsi="Arial"/>
          <w:color w:val="1E293B"/>
          <w:sz w:val="32"/>
        </w:rPr>
        <w:t>2. Mathematical Framework of the OLS Engine</w:t>
      </w:r>
    </w:p>
    <w:p>
      <w:r>
        <w:t>The underlying regression engine evaluates stock returns using the following mathematical model:</w:t>
      </w:r>
    </w:p>
    <w:p>
      <w:pPr>
        <w:spacing w:before="120" w:after="240"/>
        <w:jc w:val="center"/>
      </w:pPr>
      <w:r>
        <w:rPr>
          <w:rFonts w:ascii="Courier New" w:hAnsi="Courier New"/>
          <w:b/>
          <w:sz w:val="24"/>
        </w:rPr>
        <w:t>Ri - Rf = α + βM * (Rm - Rf) + s * SMB + h * HML + ε</w:t>
      </w:r>
    </w:p>
    <w:p>
      <w:r>
        <w:t>Where each variable is defined as follows:</w:t>
      </w:r>
    </w:p>
    <w:p>
      <w:pPr>
        <w:pStyle w:val="ListBullet"/>
        <w:spacing w:after="80"/>
      </w:pPr>
      <w:r>
        <w:rPr>
          <w:b/>
        </w:rPr>
        <w:t xml:space="preserve">Ri - Rf (Stock Excess Return): </w:t>
      </w:r>
      <w:r>
        <w:t>The monthly return of the target stock minus the risk-free rate of return (e.g., Treasury Bills rate).</w:t>
      </w:r>
    </w:p>
    <w:p>
      <w:pPr>
        <w:pStyle w:val="ListBullet"/>
        <w:spacing w:after="80"/>
      </w:pPr>
      <w:r>
        <w:rPr>
          <w:b/>
        </w:rPr>
        <w:t xml:space="preserve">Rm - Rf (Market Excess Return): </w:t>
      </w:r>
      <w:r>
        <w:t>The monthly return of the market index (e.g., NIFTY 50) minus the risk-free rate.</w:t>
      </w:r>
    </w:p>
    <w:p>
      <w:pPr>
        <w:pStyle w:val="ListBullet"/>
        <w:spacing w:after="80"/>
      </w:pPr>
      <w:r>
        <w:rPr>
          <w:b/>
        </w:rPr>
        <w:t xml:space="preserve">SMB (Small Minus Big size factor): </w:t>
      </w:r>
      <w:r>
        <w:t>The return differential between small-cap portfolios and large-cap portfolios. A positive loading (s) indicates small-cap behavior; a negative loading indicates large-cap behavior.</w:t>
      </w:r>
    </w:p>
    <w:p>
      <w:pPr>
        <w:pStyle w:val="ListBullet"/>
        <w:spacing w:after="80"/>
      </w:pPr>
      <w:r>
        <w:rPr>
          <w:b/>
        </w:rPr>
        <w:t xml:space="preserve">HML (High Minus Low style factor): </w:t>
      </w:r>
      <w:r>
        <w:t>The return differential between value stocks (high book-to-market ratio) and growth stocks (low book-to-market ratio). A positive loading (h) indicates a value tilt; a negative loading indicates a growth tilt.</w:t>
      </w:r>
    </w:p>
    <w:p>
      <w:pPr>
        <w:pStyle w:val="ListBullet"/>
        <w:spacing w:after="80"/>
      </w:pPr>
      <w:r>
        <w:rPr>
          <w:b/>
        </w:rPr>
        <w:t xml:space="preserve">α (Alpha / Intercept): </w:t>
      </w:r>
      <w:r>
        <w:t>The abnormal outperformance of the stock that cannot be explained by market, size, or style factors. A statistically significant positive alpha represents net excess value created by management or market inefficiencies.</w:t>
      </w:r>
    </w:p>
    <w:p>
      <w:pPr>
        <w:pStyle w:val="ListBullet"/>
        <w:spacing w:after="240"/>
      </w:pPr>
      <w:r>
        <w:rPr>
          <w:b/>
        </w:rPr>
        <w:t xml:space="preserve">ε (Residual Error): </w:t>
      </w:r>
      <w:r>
        <w:t>The idiosyncratic variance of the stock that is unique to the firm and not captured by systemic factors.</w:t>
      </w:r>
    </w:p>
    <w:p>
      <w:pPr>
        <w:pStyle w:val="Heading1"/>
        <w:keepNext/>
        <w:spacing w:before="240" w:after="120"/>
      </w:pPr>
      <w:r>
        <w:rPr>
          <w:rFonts w:ascii="Arial" w:hAnsi="Arial"/>
          <w:color w:val="1E293B"/>
          <w:sz w:val="32"/>
        </w:rPr>
        <w:t>3. Technical Architecture and Background Operations</w:t>
      </w:r>
    </w:p>
    <w:p>
      <w:r>
        <w:t>FAMA AI is built on a split architecture where the frontend client handles high-fidelity rendering, interactive plotting, and layout transition animations, while the backend API handles numerical regression math, file parsing, and document compilation. The system has been engineered to be stateless, lightweight, and compilation-free.</w:t>
      </w:r>
    </w:p>
    <w:p>
      <w:pPr>
        <w:pStyle w:val="Heading2"/>
        <w:keepNext/>
        <w:spacing w:before="240" w:after="120"/>
      </w:pPr>
      <w:r>
        <w:rPr>
          <w:rFonts w:ascii="Arial" w:hAnsi="Arial"/>
          <w:color w:val="475569"/>
          <w:sz w:val="26"/>
        </w:rPr>
        <w:t>3.1 Python Backend Services</w:t>
      </w:r>
    </w:p>
    <w:p>
      <w:r>
        <w:t>The backend is powered by FastAPI (Python), serving static content and handling numerical calculations. When an analysis is requested, the backend loads the corresponding target data in memory. It uses Pandas for data framing, NumPy for vector operations, and Statsmodels (OLS module) to calculate coefficients, t-statistics, p-values, standard errors, R-squared values, and confidence intervals. Finally, it translates the raw coefficients into plain-English explanations for end-users, and compiles formatted summaries into printable PDF files on-the-fly using ReportLab.</w:t>
      </w:r>
    </w:p>
    <w:p>
      <w:pPr>
        <w:pStyle w:val="Heading2"/>
        <w:keepNext/>
        <w:spacing w:before="240" w:after="120"/>
      </w:pPr>
      <w:r>
        <w:rPr>
          <w:rFonts w:ascii="Arial" w:hAnsi="Arial"/>
          <w:color w:val="475569"/>
          <w:sz w:val="26"/>
        </w:rPr>
        <w:t>3.2 Frontend Client Operations</w:t>
      </w:r>
    </w:p>
    <w:p>
      <w:r>
        <w:t>The client frontend is a Single-Page Application (SPA) designed to load and run directly in the browser without npm bundlers or transpilation. It loads React v18 and Tailwind CSS v3 via unpkg/CDN networks. Key aspects include:</w:t>
      </w:r>
    </w:p>
    <w:p>
      <w:pPr>
        <w:pStyle w:val="ListBullet"/>
        <w:spacing w:after="80"/>
      </w:pPr>
      <w:r>
        <w:rPr>
          <w:b/>
        </w:rPr>
        <w:t xml:space="preserve">Vanilla React Execution: </w:t>
      </w:r>
      <w:r>
        <w:t>Components are declared in ES6 Modules using React.createElement, avoiding JSX transpilation issues.</w:t>
      </w:r>
    </w:p>
    <w:p>
      <w:pPr>
        <w:pStyle w:val="ListBullet"/>
        <w:spacing w:after="80"/>
      </w:pPr>
      <w:r>
        <w:rPr>
          <w:b/>
        </w:rPr>
        <w:t xml:space="preserve">Plotly.js Chart Integration: </w:t>
      </w:r>
      <w:r>
        <w:t>Loads Plotly.js UMD bundles to render responsive, high-performance financial charts (Area trends, exposure bars, p-value margins).</w:t>
      </w:r>
    </w:p>
    <w:p>
      <w:pPr>
        <w:pStyle w:val="ListBullet"/>
        <w:spacing w:after="80"/>
      </w:pPr>
      <w:r>
        <w:rPr>
          <w:b/>
        </w:rPr>
        <w:t xml:space="preserve">Typewriter &amp; Sequencing Animations: </w:t>
      </w:r>
      <w:r>
        <w:t>Features a state-driven Hero landing page. It animates the title 'FAMA AI' letter-by-letter using React timer sequences, followed by the full word showing up with gradient styling and a glow effect. Both utilize CSS keyframes (.letter-zoom-fade and .word-glow-in).</w:t>
      </w:r>
    </w:p>
    <w:p>
      <w:pPr>
        <w:pStyle w:val="ListBullet"/>
        <w:spacing w:after="240"/>
      </w:pPr>
      <w:r>
        <w:rPr>
          <w:b/>
        </w:rPr>
        <w:t xml:space="preserve">Smooth Scroll Navigation: </w:t>
      </w:r>
      <w:r>
        <w:t>Containerizes the dashboard to render below the fold, executing a smooth page glide to #main-dashboard when a scroll chevron or action button is clicked.</w:t>
      </w:r>
    </w:p>
    <w:p>
      <w:pPr>
        <w:pStyle w:val="Heading1"/>
        <w:keepNext/>
        <w:spacing w:before="240" w:after="120"/>
      </w:pPr>
      <w:r>
        <w:rPr>
          <w:rFonts w:ascii="Arial" w:hAnsi="Arial"/>
          <w:color w:val="1E293B"/>
          <w:sz w:val="32"/>
        </w:rPr>
        <w:t>4. Program Codes and Implementations</w:t>
      </w:r>
    </w:p>
    <w:p>
      <w:r>
        <w:t>This section lists the exact program code files used within the FAMA AI codebase, detailing their technical responsibilities and logic implementations:</w:t>
      </w:r>
    </w:p>
    <w:p>
      <w:pPr>
        <w:pStyle w:val="Heading2"/>
        <w:keepNext/>
        <w:spacing w:before="240" w:after="120"/>
      </w:pPr>
      <w:r>
        <w:rPr>
          <w:rFonts w:ascii="Arial" w:hAnsi="Arial"/>
          <w:color w:val="475569"/>
          <w:sz w:val="26"/>
        </w:rPr>
        <w:t>4.1 backend/main.py (Application Entrypoint)</w:t>
      </w:r>
    </w:p>
    <w:p>
      <w:r>
        <w:t>This file initializes the FastAPI application, configures CORS middleware rules to allow external API consumption, and defines the primary route endpoints:</w:t>
      </w:r>
    </w:p>
    <w:p>
      <w:pPr>
        <w:ind w:left="360"/>
      </w:pPr>
      <w:r>
        <w:t>- GET `/api/stocks`: Retrieves the list of stock datasets currently available in the sample folder.</w:t>
        <w:br/>
        <w:t>- GET `/api/fama-analysis/{symbol}`: Triggers the regression pipeline on a predefined dataset.</w:t>
        <w:br/>
        <w:t>- POST `/api/fama-analysis/upload`: Processes uploaded CSV factor files, sending them to the parser and regression services.</w:t>
        <w:br/>
        <w:t>- POST `/api/reports/export`: Takes the regression statistics and outputs them as a downloadable PDF stream.</w:t>
        <w:br/>
        <w:t>- Mounting: Mounts static frontend files located in `backend/static/` under the root path so the application is served as a unified package.</w:t>
      </w:r>
    </w:p>
    <w:p>
      <w:pPr>
        <w:pStyle w:val="Heading2"/>
        <w:keepNext/>
        <w:spacing w:before="240" w:after="120"/>
      </w:pPr>
      <w:r>
        <w:rPr>
          <w:rFonts w:ascii="Arial" w:hAnsi="Arial"/>
          <w:color w:val="475569"/>
          <w:sz w:val="26"/>
        </w:rPr>
        <w:t>4.2 backend/services/regression_service.py (Statistical Engine)</w:t>
      </w:r>
    </w:p>
    <w:p>
      <w:r>
        <w:t>This module performs the core OLS regression logic. It defines the `run_ols_regression` function, which loads data from a CSV, extracts dependent and independent factors, and fits an OLS model using Statsmodels. It extracts:</w:t>
        <w:br/>
        <w:t>- Coefficient Values: The raw exposures to Market, SMB, and HML.</w:t>
        <w:br/>
        <w:t>- t-Statistics &amp; Standard Errors: The precision metrics of the factor loadings.</w:t>
        <w:br/>
        <w:t>- p-Values: Checks if the calculated exposures are statistically significant (p &lt; 0.05).</w:t>
        <w:br/>
        <w:t>- R-Squared: The percentage of return variance explained by the three factors.</w:t>
        <w:br/>
        <w:t>- Confidence Intervals: The 95% lower and upper bounds for each factor.</w:t>
        <w:br/>
        <w:t>Crucially, it generates text-based explanations that interpret the coefficients based on their magnitudes and statistical signficance, transforming numeric data into financial narratives.</w:t>
      </w:r>
    </w:p>
    <w:p>
      <w:pPr>
        <w:pStyle w:val="Heading2"/>
        <w:keepNext/>
        <w:spacing w:before="240" w:after="120"/>
      </w:pPr>
      <w:r>
        <w:rPr>
          <w:rFonts w:ascii="Arial" w:hAnsi="Arial"/>
          <w:color w:val="475569"/>
          <w:sz w:val="26"/>
        </w:rPr>
        <w:t>4.3 backend/utils/csv_loader.py (Data Parser &amp; Validator)</w:t>
      </w:r>
    </w:p>
    <w:p>
      <w:r>
        <w:t>This utility manages CSV parsing. It reads uploaded files, converts columns into a standard case-insensitive format, trims whitespace, verifies that all necessary fields ('Date', 'Ri_Rf', 'Rm_Rf', 'SMB', 'HML') are present, and handles errors (e.g., missing columns, empty data rows, non-numeric formats) by throwing well-formulated HTTP 400 Bad Request exceptions.</w:t>
      </w:r>
    </w:p>
    <w:p>
      <w:pPr>
        <w:pStyle w:val="Heading2"/>
        <w:keepNext/>
        <w:spacing w:before="240" w:after="120"/>
      </w:pPr>
      <w:r>
        <w:rPr>
          <w:rFonts w:ascii="Arial" w:hAnsi="Arial"/>
          <w:color w:val="475569"/>
          <w:sz w:val="26"/>
        </w:rPr>
        <w:t>4.4 backend/utils/pdf_generator.py (PDF Report Compiler)</w:t>
      </w:r>
    </w:p>
    <w:p>
      <w:r>
        <w:t>This file compiles regression results into a formal PDF report. It uses ReportLab's flowable document elements (SimpleDocTemplate, Paragraph, Table, Spacer) to create a clean, double-column results matrix, embeds stock details, prints factor statistics, and renders the translated investor interpretations. The output is streamed directly to the user as an in-memory byte stream, preventing server-side file clogging.</w:t>
      </w:r>
    </w:p>
    <w:p>
      <w:pPr>
        <w:pStyle w:val="Heading2"/>
        <w:keepNext/>
        <w:spacing w:before="240" w:after="120"/>
      </w:pPr>
      <w:r>
        <w:rPr>
          <w:rFonts w:ascii="Arial" w:hAnsi="Arial"/>
          <w:color w:val="475569"/>
          <w:sz w:val="26"/>
        </w:rPr>
        <w:t>4.5 backend/static/js/components.js &amp; app.js (UI Layer)</w:t>
      </w:r>
    </w:p>
    <w:p>
      <w:r>
        <w:t>These React files control the frontend interface. `components.js` defines layout modules such as the Header, StockSelector panel, drag-and-drop CSV Uploader, diagnostic card strips, and results tables. It also contains the `HeroSection` which implements the letter-by-letter sequencing loop for FAMA AI. `app.js` coordinates the global state, processes selection changes, fetches backend API responses, and binds data to interactive Plotly charts.</w:t>
      </w:r>
    </w:p>
    <w:p>
      <w:pPr>
        <w:pStyle w:val="Heading1"/>
        <w:keepNext/>
        <w:spacing w:before="240" w:after="120"/>
      </w:pPr>
      <w:r>
        <w:rPr>
          <w:rFonts w:ascii="Arial" w:hAnsi="Arial"/>
          <w:color w:val="1E293B"/>
          <w:sz w:val="32"/>
        </w:rPr>
        <w:t>5. Empirical Regression Results and Portfolio Insights</w:t>
      </w:r>
    </w:p>
    <w:p>
      <w:r>
        <w:t>This section presents the exact OLS regression results computed for Tata Motors over the sample period, detailing the factor coefficients, statistical significance, and core investment implications.</w:t>
      </w:r>
    </w:p>
    <w:p>
      <w:pPr>
        <w:pStyle w:val="Heading2"/>
        <w:keepNext/>
        <w:spacing w:before="240" w:after="120"/>
      </w:pPr>
      <w:r>
        <w:rPr>
          <w:rFonts w:ascii="Arial" w:hAnsi="Arial"/>
          <w:color w:val="475569"/>
          <w:sz w:val="26"/>
        </w:rPr>
        <w:t>5.1 Tata Motors Regression Output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50" w:type="dxa"/>
              <w:right w:w="150" w:type="dxa"/>
            </w:tcMar>
          </w:tcPr>
          <w:p>
            <w:r>
              <w:rPr>
                <w:b/>
              </w:rPr>
              <w:t>Factor Name</w:t>
            </w:r>
          </w:p>
        </w:tc>
        <w:tc>
          <w:tcPr>
            <w:tcW w:type="dxa" w:w="1560"/>
            <w:tcMar>
              <w:top w:w="100" w:type="dxa"/>
              <w:bottom w:w="100" w:type="dxa"/>
              <w:left w:w="150" w:type="dxa"/>
              <w:right w:w="150" w:type="dxa"/>
            </w:tcMar>
          </w:tcPr>
          <w:p>
            <w:r>
              <w:rPr>
                <w:b/>
              </w:rPr>
              <w:t>Coefficient</w:t>
            </w:r>
          </w:p>
        </w:tc>
        <w:tc>
          <w:tcPr>
            <w:tcW w:type="dxa" w:w="1560"/>
            <w:tcMar>
              <w:top w:w="100" w:type="dxa"/>
              <w:bottom w:w="100" w:type="dxa"/>
              <w:left w:w="150" w:type="dxa"/>
              <w:right w:w="150" w:type="dxa"/>
            </w:tcMar>
          </w:tcPr>
          <w:p>
            <w:r>
              <w:rPr>
                <w:b/>
              </w:rPr>
              <w:t>t-Stat</w:t>
            </w:r>
          </w:p>
        </w:tc>
        <w:tc>
          <w:tcPr>
            <w:tcW w:type="dxa" w:w="1560"/>
            <w:tcMar>
              <w:top w:w="100" w:type="dxa"/>
              <w:bottom w:w="100" w:type="dxa"/>
              <w:left w:w="150" w:type="dxa"/>
              <w:right w:w="150" w:type="dxa"/>
            </w:tcMar>
          </w:tcPr>
          <w:p>
            <w:r>
              <w:rPr>
                <w:b/>
              </w:rPr>
              <w:t>p-Value</w:t>
            </w:r>
          </w:p>
        </w:tc>
        <w:tc>
          <w:tcPr>
            <w:tcW w:type="dxa" w:w="1560"/>
            <w:tcMar>
              <w:top w:w="100" w:type="dxa"/>
              <w:bottom w:w="100" w:type="dxa"/>
              <w:left w:w="150" w:type="dxa"/>
              <w:right w:w="150" w:type="dxa"/>
            </w:tcMar>
          </w:tcPr>
          <w:p>
            <w:r>
              <w:rPr>
                <w:b/>
              </w:rPr>
              <w:t>95% Conf. Interval</w:t>
            </w:r>
          </w:p>
        </w:tc>
        <w:tc>
          <w:tcPr>
            <w:tcW w:type="dxa" w:w="1560"/>
            <w:tcMar>
              <w:top w:w="100" w:type="dxa"/>
              <w:bottom w:w="100" w:type="dxa"/>
              <w:left w:w="150" w:type="dxa"/>
              <w:right w:w="150" w:type="dxa"/>
            </w:tcMar>
          </w:tcPr>
          <w:p>
            <w:r>
              <w:rPr>
                <w:b/>
              </w:rPr>
              <w:t>Significant?</w:t>
            </w:r>
          </w:p>
        </w:tc>
      </w:tr>
      <w:tr>
        <w:tc>
          <w:tcPr>
            <w:tcW w:type="dxa" w:w="1560"/>
            <w:tcMar>
              <w:top w:w="100" w:type="dxa"/>
              <w:bottom w:w="100" w:type="dxa"/>
              <w:left w:w="150" w:type="dxa"/>
              <w:right w:w="150" w:type="dxa"/>
            </w:tcMar>
          </w:tcPr>
          <w:p>
            <w:r>
              <w:t>Alpha (Intercept)</w:t>
            </w:r>
          </w:p>
        </w:tc>
        <w:tc>
          <w:tcPr>
            <w:tcW w:type="dxa" w:w="1560"/>
            <w:tcMar>
              <w:top w:w="100" w:type="dxa"/>
              <w:bottom w:w="100" w:type="dxa"/>
              <w:left w:w="150" w:type="dxa"/>
              <w:right w:w="150" w:type="dxa"/>
            </w:tcMar>
          </w:tcPr>
          <w:p>
            <w:r>
              <w:t>0.0075</w:t>
            </w:r>
          </w:p>
        </w:tc>
        <w:tc>
          <w:tcPr>
            <w:tcW w:type="dxa" w:w="1560"/>
            <w:tcMar>
              <w:top w:w="100" w:type="dxa"/>
              <w:bottom w:w="100" w:type="dxa"/>
              <w:left w:w="150" w:type="dxa"/>
              <w:right w:w="150" w:type="dxa"/>
            </w:tcMar>
          </w:tcPr>
          <w:p>
            <w:r>
              <w:t>3.38</w:t>
            </w:r>
          </w:p>
        </w:tc>
        <w:tc>
          <w:tcPr>
            <w:tcW w:type="dxa" w:w="1560"/>
            <w:tcMar>
              <w:top w:w="100" w:type="dxa"/>
              <w:bottom w:w="100" w:type="dxa"/>
              <w:left w:w="150" w:type="dxa"/>
              <w:right w:w="150" w:type="dxa"/>
            </w:tcMar>
          </w:tcPr>
          <w:p>
            <w:r>
              <w:t>0.0030</w:t>
            </w:r>
          </w:p>
        </w:tc>
        <w:tc>
          <w:tcPr>
            <w:tcW w:type="dxa" w:w="1560"/>
            <w:tcMar>
              <w:top w:w="100" w:type="dxa"/>
              <w:bottom w:w="100" w:type="dxa"/>
              <w:left w:w="150" w:type="dxa"/>
              <w:right w:w="150" w:type="dxa"/>
            </w:tcMar>
          </w:tcPr>
          <w:p>
            <w:r>
              <w:t>[0.0029, 0.0121]</w:t>
            </w:r>
          </w:p>
        </w:tc>
        <w:tc>
          <w:tcPr>
            <w:tcW w:type="dxa" w:w="1560"/>
            <w:tcMar>
              <w:top w:w="100" w:type="dxa"/>
              <w:bottom w:w="100" w:type="dxa"/>
              <w:left w:w="150" w:type="dxa"/>
              <w:right w:w="150" w:type="dxa"/>
            </w:tcMar>
          </w:tcPr>
          <w:p>
            <w:r>
              <w:t>Yes (p &lt; 0.05)</w:t>
            </w:r>
          </w:p>
        </w:tc>
      </w:tr>
      <w:tr>
        <w:tc>
          <w:tcPr>
            <w:tcW w:type="dxa" w:w="1560"/>
            <w:tcMar>
              <w:top w:w="100" w:type="dxa"/>
              <w:bottom w:w="100" w:type="dxa"/>
              <w:left w:w="150" w:type="dxa"/>
              <w:right w:w="150" w:type="dxa"/>
            </w:tcMar>
          </w:tcPr>
          <w:p>
            <w:r>
              <w:t>Market (Rm - Rf)</w:t>
            </w:r>
          </w:p>
        </w:tc>
        <w:tc>
          <w:tcPr>
            <w:tcW w:type="dxa" w:w="1560"/>
            <w:tcMar>
              <w:top w:w="100" w:type="dxa"/>
              <w:bottom w:w="100" w:type="dxa"/>
              <w:left w:w="150" w:type="dxa"/>
              <w:right w:w="150" w:type="dxa"/>
            </w:tcMar>
          </w:tcPr>
          <w:p>
            <w:r>
              <w:t>1.3312</w:t>
            </w:r>
          </w:p>
        </w:tc>
        <w:tc>
          <w:tcPr>
            <w:tcW w:type="dxa" w:w="1560"/>
            <w:tcMar>
              <w:top w:w="100" w:type="dxa"/>
              <w:bottom w:w="100" w:type="dxa"/>
              <w:left w:w="150" w:type="dxa"/>
              <w:right w:w="150" w:type="dxa"/>
            </w:tcMar>
          </w:tcPr>
          <w:p>
            <w:r>
              <w:t>22.25</w:t>
            </w:r>
          </w:p>
        </w:tc>
        <w:tc>
          <w:tcPr>
            <w:tcW w:type="dxa" w:w="1560"/>
            <w:tcMar>
              <w:top w:w="100" w:type="dxa"/>
              <w:bottom w:w="100" w:type="dxa"/>
              <w:left w:w="150" w:type="dxa"/>
              <w:right w:w="150" w:type="dxa"/>
            </w:tcMar>
          </w:tcPr>
          <w:p>
            <w:r>
              <w:t>0.0000</w:t>
            </w:r>
          </w:p>
        </w:tc>
        <w:tc>
          <w:tcPr>
            <w:tcW w:type="dxa" w:w="1560"/>
            <w:tcMar>
              <w:top w:w="100" w:type="dxa"/>
              <w:bottom w:w="100" w:type="dxa"/>
              <w:left w:w="150" w:type="dxa"/>
              <w:right w:w="150" w:type="dxa"/>
            </w:tcMar>
          </w:tcPr>
          <w:p>
            <w:r>
              <w:t>[1.2065, 1.4559]</w:t>
            </w:r>
          </w:p>
        </w:tc>
        <w:tc>
          <w:tcPr>
            <w:tcW w:type="dxa" w:w="1560"/>
            <w:tcMar>
              <w:top w:w="100" w:type="dxa"/>
              <w:bottom w:w="100" w:type="dxa"/>
              <w:left w:w="150" w:type="dxa"/>
              <w:right w:w="150" w:type="dxa"/>
            </w:tcMar>
          </w:tcPr>
          <w:p>
            <w:r>
              <w:t>Yes (p &lt; 0.05)</w:t>
            </w:r>
          </w:p>
        </w:tc>
      </w:tr>
      <w:tr>
        <w:tc>
          <w:tcPr>
            <w:tcW w:type="dxa" w:w="1560"/>
            <w:tcMar>
              <w:top w:w="100" w:type="dxa"/>
              <w:bottom w:w="100" w:type="dxa"/>
              <w:left w:w="150" w:type="dxa"/>
              <w:right w:w="150" w:type="dxa"/>
            </w:tcMar>
          </w:tcPr>
          <w:p>
            <w:r>
              <w:t>Size Factor (SMB)</w:t>
            </w:r>
          </w:p>
        </w:tc>
        <w:tc>
          <w:tcPr>
            <w:tcW w:type="dxa" w:w="1560"/>
            <w:tcMar>
              <w:top w:w="100" w:type="dxa"/>
              <w:bottom w:w="100" w:type="dxa"/>
              <w:left w:w="150" w:type="dxa"/>
              <w:right w:w="150" w:type="dxa"/>
            </w:tcMar>
          </w:tcPr>
          <w:p>
            <w:r>
              <w:t>-0.0103</w:t>
            </w:r>
          </w:p>
        </w:tc>
        <w:tc>
          <w:tcPr>
            <w:tcW w:type="dxa" w:w="1560"/>
            <w:tcMar>
              <w:top w:w="100" w:type="dxa"/>
              <w:bottom w:w="100" w:type="dxa"/>
              <w:left w:w="150" w:type="dxa"/>
              <w:right w:w="150" w:type="dxa"/>
            </w:tcMar>
          </w:tcPr>
          <w:p>
            <w:r>
              <w:t>-0.08</w:t>
            </w:r>
          </w:p>
        </w:tc>
        <w:tc>
          <w:tcPr>
            <w:tcW w:type="dxa" w:w="1560"/>
            <w:tcMar>
              <w:top w:w="100" w:type="dxa"/>
              <w:bottom w:w="100" w:type="dxa"/>
              <w:left w:w="150" w:type="dxa"/>
              <w:right w:w="150" w:type="dxa"/>
            </w:tcMar>
          </w:tcPr>
          <w:p>
            <w:r>
              <w:t>0.9370</w:t>
            </w:r>
          </w:p>
        </w:tc>
        <w:tc>
          <w:tcPr>
            <w:tcW w:type="dxa" w:w="1560"/>
            <w:tcMar>
              <w:top w:w="100" w:type="dxa"/>
              <w:bottom w:w="100" w:type="dxa"/>
              <w:left w:w="150" w:type="dxa"/>
              <w:right w:w="150" w:type="dxa"/>
            </w:tcMar>
          </w:tcPr>
          <w:p>
            <w:r>
              <w:t>[-0.2762, 0.2556]</w:t>
            </w:r>
          </w:p>
        </w:tc>
        <w:tc>
          <w:tcPr>
            <w:tcW w:type="dxa" w:w="1560"/>
            <w:tcMar>
              <w:top w:w="100" w:type="dxa"/>
              <w:bottom w:w="100" w:type="dxa"/>
              <w:left w:w="150" w:type="dxa"/>
              <w:right w:w="150" w:type="dxa"/>
            </w:tcMar>
          </w:tcPr>
          <w:p>
            <w:r>
              <w:t>No (p &gt; 0.05)</w:t>
            </w:r>
          </w:p>
        </w:tc>
      </w:tr>
      <w:tr>
        <w:tc>
          <w:tcPr>
            <w:tcW w:type="dxa" w:w="1560"/>
            <w:tcMar>
              <w:top w:w="100" w:type="dxa"/>
              <w:bottom w:w="100" w:type="dxa"/>
              <w:left w:w="150" w:type="dxa"/>
              <w:right w:w="150" w:type="dxa"/>
            </w:tcMar>
          </w:tcPr>
          <w:p>
            <w:r>
              <w:t>Style Factor (HML)</w:t>
            </w:r>
          </w:p>
        </w:tc>
        <w:tc>
          <w:tcPr>
            <w:tcW w:type="dxa" w:w="1560"/>
            <w:tcMar>
              <w:top w:w="100" w:type="dxa"/>
              <w:bottom w:w="100" w:type="dxa"/>
              <w:left w:w="150" w:type="dxa"/>
              <w:right w:w="150" w:type="dxa"/>
            </w:tcMar>
          </w:tcPr>
          <w:p>
            <w:r>
              <w:t>0.6514</w:t>
            </w:r>
          </w:p>
        </w:tc>
        <w:tc>
          <w:tcPr>
            <w:tcW w:type="dxa" w:w="1560"/>
            <w:tcMar>
              <w:top w:w="100" w:type="dxa"/>
              <w:bottom w:w="100" w:type="dxa"/>
              <w:left w:w="150" w:type="dxa"/>
              <w:right w:w="150" w:type="dxa"/>
            </w:tcMar>
          </w:tcPr>
          <w:p>
            <w:r>
              <w:t>6.47</w:t>
            </w:r>
          </w:p>
        </w:tc>
        <w:tc>
          <w:tcPr>
            <w:tcW w:type="dxa" w:w="1560"/>
            <w:tcMar>
              <w:top w:w="100" w:type="dxa"/>
              <w:bottom w:w="100" w:type="dxa"/>
              <w:left w:w="150" w:type="dxa"/>
              <w:right w:w="150" w:type="dxa"/>
            </w:tcMar>
          </w:tcPr>
          <w:p>
            <w:r>
              <w:t>0.0000</w:t>
            </w:r>
          </w:p>
        </w:tc>
        <w:tc>
          <w:tcPr>
            <w:tcW w:type="dxa" w:w="1560"/>
            <w:tcMar>
              <w:top w:w="100" w:type="dxa"/>
              <w:bottom w:w="100" w:type="dxa"/>
              <w:left w:w="150" w:type="dxa"/>
              <w:right w:w="150" w:type="dxa"/>
            </w:tcMar>
          </w:tcPr>
          <w:p>
            <w:r>
              <w:t>[0.4418, 0.8610]</w:t>
            </w:r>
          </w:p>
        </w:tc>
        <w:tc>
          <w:tcPr>
            <w:tcW w:type="dxa" w:w="1560"/>
            <w:tcMar>
              <w:top w:w="100" w:type="dxa"/>
              <w:bottom w:w="100" w:type="dxa"/>
              <w:left w:w="150" w:type="dxa"/>
              <w:right w:w="150" w:type="dxa"/>
            </w:tcMar>
          </w:tcPr>
          <w:p>
            <w:r>
              <w:t>Yes (p &lt; 0.05)</w:t>
            </w:r>
          </w:p>
        </w:tc>
      </w:tr>
    </w:tbl>
    <w:p>
      <w:pPr>
        <w:spacing w:before="120"/>
      </w:pPr>
    </w:p>
    <w:p>
      <w:pPr>
        <w:pStyle w:val="Heading2"/>
        <w:keepNext/>
        <w:spacing w:before="240" w:after="120"/>
      </w:pPr>
      <w:r>
        <w:rPr>
          <w:rFonts w:ascii="Arial" w:hAnsi="Arial"/>
          <w:color w:val="475569"/>
          <w:sz w:val="26"/>
        </w:rPr>
        <w:t>5.2 Tata Motors Statistical Interpretation</w:t>
      </w:r>
    </w:p>
    <w:p>
      <w:r>
        <w:rPr>
          <w:b/>
        </w:rPr>
        <w:t xml:space="preserve">Model Fit and R-squared: </w:t>
      </w:r>
    </w:p>
    <w:p>
      <w:pPr>
        <w:ind w:left="288"/>
      </w:pPr>
      <w:r>
        <w:t>The model R-squared is 96.05%, meaning that 96.05% of the variation in excess returns for Tata Motors is explained by the three Fama-French factors. This shows highly robust explanatory power and verifies that the regression model fits the dataset exceptionally well.</w:t>
      </w:r>
    </w:p>
    <w:p>
      <w:r>
        <w:rPr>
          <w:b/>
        </w:rPr>
        <w:t xml:space="preserve">Market Risk Exposure (Market Beta): </w:t>
      </w:r>
    </w:p>
    <w:p>
      <w:pPr>
        <w:ind w:left="288"/>
      </w:pPr>
      <w:r>
        <w:t>The market coefficient is 1.3312, with a p-value of 0.0000. This is highly statistically significant. A Beta of 1.33 represents an aggressive risk profile. Tata Motors is highly sensitive to overall market movements, amplifying market swings. If the broad market index climbs by 10%, Tata Motors is expected to jump by approximately 13.3%, making it a high-beta cyclical play.</w:t>
      </w:r>
    </w:p>
    <w:p>
      <w:r>
        <w:rPr>
          <w:b/>
        </w:rPr>
        <w:t xml:space="preserve">Size Risk Exposure (SMB Loading): </w:t>
      </w:r>
    </w:p>
    <w:p>
      <w:pPr>
        <w:ind w:left="288"/>
      </w:pPr>
      <w:r>
        <w:t>The size coefficient is -0.0103, with a p-value of 0.9370. Since the p-value is extremely high, this loading is statistically insignificant. It indicates that Tata Motors is size-neutral in terms of its returns profile during this period, behaving neither strictly as a small-cap nor as a large-cap stock. Its size risk loading does not significantly impact its stock movements.</w:t>
      </w:r>
    </w:p>
    <w:p>
      <w:r>
        <w:rPr>
          <w:b/>
        </w:rPr>
        <w:t xml:space="preserve">Style Risk Exposure (HML Loading): </w:t>
      </w:r>
    </w:p>
    <w:p>
      <w:pPr>
        <w:ind w:left="288"/>
      </w:pPr>
      <w:r>
        <w:t>The HML coefficient is 0.6514, with a p-value of 0.0000. This positive loading is highly significant and confirms a strong value stock tilt. Value stocks typically have low price-to-book ratios, trade at a discount, and are linked to heavy tangible asset classes like manufacturing and automotive. This represents investor focus on Tata Motors' underlying physical assets, restructuring, and turnaround cyclicality.</w:t>
      </w:r>
    </w:p>
    <w:p>
      <w:r>
        <w:rPr>
          <w:b/>
        </w:rPr>
        <w:t xml:space="preserve">Alpha (Intercept): </w:t>
      </w:r>
    </w:p>
    <w:p>
      <w:pPr>
        <w:ind w:left="288"/>
      </w:pPr>
      <w:r>
        <w:t>The Alpha is 0.0075 (0.75% monthly), with a p-value of 0.0030. Since this p-value is below 0.05, the alpha is statistically significant. Tata Motors generated an abnormal monthly outperformance of 0.75% (approx. 9% annualized) that cannot be explained by market movements, size, or style factors. This indicates strong stock-specific tailwinds, such as firm-specific operations, electric vehicle division expansions, or cyclical pricing power.</w:t>
      </w:r>
    </w:p>
    <w:p>
      <w:pPr>
        <w:pStyle w:val="Heading2"/>
        <w:keepNext/>
        <w:spacing w:before="240" w:after="120"/>
      </w:pPr>
      <w:r>
        <w:rPr>
          <w:rFonts w:ascii="Arial" w:hAnsi="Arial"/>
          <w:color w:val="475569"/>
          <w:sz w:val="26"/>
        </w:rPr>
        <w:t>5.3 Academic Conclusion</w:t>
      </w:r>
    </w:p>
    <w:p>
      <w:r>
        <w:t>In summary, Tata Motors behaves as an aggressive, size-neutral, value-tilted asset. It generated significant positive abnormal returns (Alpha = 0.75% monthly) over the analyzed period. The 3-Factor model explains 96.05% of its returns, making it an attractive choice for high-beta value exposures with positive idiosyncratic growth triggers.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