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b/>
          <w:color w:val="10233F"/>
          <w:sz w:val="40"/>
        </w:rPr>
        <w:t>Guion de preguntas — defensa del TFM</w:t>
      </w:r>
    </w:p>
    <w:p>
      <w:r>
        <w:rPr>
          <w:i/>
          <w:color w:val="4A5568"/>
          <w:sz w:val="20"/>
        </w:rPr>
        <w:t>Preparado el 29/09/2026 · repasar antes de la defensa, no leer en voz alta</w:t>
      </w:r>
    </w:p>
    <w:p>
      <w:pPr>
        <w:pBdr>
          <w:bottom w:val="single" w:sz="6" w:space="1" w:color="CCCCCC"/>
        </w:pBdr>
      </w:pPr>
    </w:p>
    <w:p>
      <w:pPr>
        <w:spacing w:before="360" w:after="120"/>
      </w:pPr>
      <w:r>
        <w:rPr>
          <w:b/>
          <w:color w:val="0E7A70"/>
          <w:sz w:val="28"/>
        </w:rPr>
        <w:t>1. Sobre el gesto “casa” y el objetivo 5</w:t>
      </w:r>
    </w:p>
    <w:p>
      <w:pPr>
        <w:spacing w:before="200" w:after="40"/>
      </w:pPr>
      <w:r>
        <w:rPr>
          <w:b/>
          <w:color w:val="10233F"/>
          <w:sz w:val="23"/>
        </w:rPr>
        <w:t>P: ¿Por qué solo 11 intentos? ¿Es suficiente para validar el objetivo?</w:t>
      </w:r>
    </w:p>
    <w:p>
      <w:pPr>
        <w:spacing w:after="40"/>
        <w:ind w:left="283"/>
      </w:pPr>
      <w:r>
        <w:rPr>
          <w:sz w:val="22"/>
        </w:rPr>
        <w:t>No se presenta como validación completa, sino como primer paso: la memoria lo dice explícitamente (§7.8-§7.9). Es una única sesión de laboratorio (23/09), la última disponible antes del cierre. Lo relevante no es el tamaño de la muestra, sino que es la primera vez que seguimiento y navegación funcionan integrados en el mismo sistema real — algo que hasta esa sesión se había probado siempre por separado. Más repeticiones quedan como trabajo futuro (§7.10).</w:t>
      </w:r>
    </w:p>
    <w:p>
      <w:pPr>
        <w:spacing w:before="200" w:after="40"/>
      </w:pPr>
      <w:r>
        <w:rPr>
          <w:b/>
          <w:color w:val="10233F"/>
          <w:sz w:val="23"/>
        </w:rPr>
        <w:t>P: ¿Por qué fallaron 2 de las 11 vueltas?</w:t>
      </w:r>
    </w:p>
    <w:p>
      <w:pPr>
        <w:spacing w:after="40"/>
        <w:ind w:left="283"/>
      </w:pPr>
      <w:r>
        <w:rPr>
          <w:sz w:val="22"/>
        </w:rPr>
        <w:t>No fue el gesto ni la máquina de estados: en ambos casos, la localización (AMCL, ±0,5 m de error típico) situaba al robot dentro de la zona de seguridad de un obstáculo del mapa en el momento de pedir la ruta. Desde ahí, el planificador de Nav2 no puede trazar un camino válido, y el sistema lo detecta y devuelve el robot a reposo de forma segura — no se queda bloqueado ni se mueve de forma errática. La mejora natural (trabajo futuro) es una maniobra de despegue antes de pedir ruta.</w:t>
      </w:r>
    </w:p>
    <w:p>
      <w:pPr>
        <w:spacing w:before="200" w:after="40"/>
      </w:pPr>
      <w:r>
        <w:rPr>
          <w:b/>
          <w:color w:val="10233F"/>
          <w:sz w:val="23"/>
        </w:rPr>
        <w:t>P: ¿Cómo sabéis que fue la localización y no otra cosa? ¿Lo comprobasteis?</w:t>
      </w:r>
    </w:p>
    <w:p>
      <w:pPr>
        <w:spacing w:after="40"/>
        <w:ind w:left="283"/>
      </w:pPr>
      <w:r>
        <w:rPr>
          <w:sz w:val="22"/>
        </w:rPr>
        <w:t>Sí: el gesto se reconoció correctamente en los 2 casos (no hay falsos negativos de gesto en esa sesión) y la máquina de estados transicionó a HOMING con normalidad — el punto de fallo está después, en Nav2 rechazando la ruta por la posición estimada. Es la misma causa, no dos fallos independientes.</w:t>
      </w:r>
    </w:p>
    <w:p>
      <w:pPr>
        <w:spacing w:before="200" w:after="40"/>
      </w:pPr>
      <w:r>
        <w:rPr>
          <w:b/>
          <w:color w:val="10233F"/>
          <w:sz w:val="23"/>
        </w:rPr>
        <w:t>P: ¿Por qué el gesto “tejado” y no otro?</w:t>
      </w:r>
    </w:p>
    <w:p>
      <w:pPr>
        <w:spacing w:after="40"/>
        <w:ind w:left="283"/>
      </w:pPr>
      <w:r>
        <w:rPr>
          <w:sz w:val="22"/>
        </w:rPr>
        <w:t>Es simétrico, así que se reconoce igual de frente que de espaldas — durante el seguimiento la persona va de espaldas al robot. Se descartaron los brazos cruzados (las muñecas quedan tapadas) y las dos manos arriba sin juntar (demasiado parecido a los gestos de una sola mano).</w:t>
      </w:r>
    </w:p>
    <w:p>
      <w:pPr>
        <w:spacing w:after="80"/>
        <w:ind w:left="283"/>
      </w:pPr>
      <w:r>
        <w:rPr>
          <w:i/>
          <w:color w:val="4A5568"/>
          <w:sz w:val="19"/>
        </w:rPr>
        <w:t>Fuente: docs/presentacion_gesto_casa.md del repositorio (§6).</w:t>
      </w:r>
    </w:p>
    <w:p>
      <w:pPr>
        <w:spacing w:before="200" w:after="40"/>
      </w:pPr>
      <w:r>
        <w:rPr>
          <w:b/>
          <w:color w:val="10233F"/>
          <w:sz w:val="23"/>
        </w:rPr>
        <w:t>P: ¿Cómo se evita que el seguimiento y Nav2 se disputen el control del robot?</w:t>
      </w:r>
    </w:p>
    <w:p>
      <w:pPr>
        <w:spacing w:after="40"/>
        <w:ind w:left="283"/>
      </w:pPr>
      <w:r>
        <w:rPr>
          <w:sz w:val="22"/>
        </w:rPr>
        <w:t>Nav2 no publica nunca directamente en la base. control_node recibe las dos fuentes de velocidad (tracking_node y Nav2) y solo reenvía la del estado activo. Detalle importante: el nodo de seguimiento, aunque esté desactivado, sigue publicando velocidad cero diez veces por segundo — reenviar eso sin más habría anulado a Nav2, así que el arbitraje en control_node es explícito, no implícito.</w:t>
      </w:r>
    </w:p>
    <w:p>
      <w:pPr>
        <w:spacing w:before="200" w:after="40"/>
      </w:pPr>
      <w:r>
        <w:rPr>
          <w:b/>
          <w:color w:val="10233F"/>
          <w:sz w:val="23"/>
        </w:rPr>
        <w:t>P: ¿Qué pasa si hay un obstáculo en el camino de vuelta a casa?</w:t>
      </w:r>
    </w:p>
    <w:p>
      <w:pPr>
        <w:spacing w:after="40"/>
        <w:ind w:left="283"/>
      </w:pPr>
      <w:r>
        <w:rPr>
          <w:sz w:val="22"/>
        </w:rPr>
        <w:t>Nav2 lo ve con el LiDAR en su mapa de costes local y lo rodea. Se probó ya en la Sesión 7 (27/07) con un obstáculo real no presente en el mapa guardado.</w:t>
      </w:r>
    </w:p>
    <w:p>
      <w:pPr>
        <w:spacing w:before="360" w:after="120"/>
      </w:pPr>
      <w:r>
        <w:rPr>
          <w:b/>
          <w:color w:val="0E7A70"/>
          <w:sz w:val="28"/>
        </w:rPr>
        <w:t>2. Sobre la limitación de hardware (NUC)</w:t>
      </w:r>
    </w:p>
    <w:p>
      <w:pPr>
        <w:spacing w:before="200" w:after="40"/>
      </w:pPr>
      <w:r>
        <w:rPr>
          <w:b/>
          <w:color w:val="10233F"/>
          <w:sz w:val="23"/>
        </w:rPr>
        <w:t>P: ¿Qué significa exactamente que “el NUC no soportaba tantos procesos a la vez”?</w:t>
      </w:r>
    </w:p>
    <w:p>
      <w:pPr>
        <w:spacing w:after="40"/>
        <w:ind w:left="283"/>
      </w:pPr>
      <w:r>
        <w:rPr>
          <w:sz w:val="22"/>
        </w:rPr>
        <w:t>En fases tempranas del desarrollo (Fase 1, mayo), varios procesos competían por los mismos recursos del NUC embarcado: se dieron conflictos de puerto entre instancias duplicadas del nodo de la base Kobuki, y latencia de descubrimiento DDS que hacía parecer que AMCL se congelaba cuando en realidad los comandos de prueba, muy cortos, no llegaban a tiempo al robot.</w:t>
      </w:r>
    </w:p>
    <w:p>
      <w:pPr>
        <w:spacing w:before="200" w:after="40"/>
      </w:pPr>
      <w:r>
        <w:rPr>
          <w:b/>
          <w:color w:val="10233F"/>
          <w:sz w:val="23"/>
        </w:rPr>
        <w:t>P: ¿Qué se optimizó exactamente para solucionarlo?</w:t>
      </w:r>
    </w:p>
    <w:p>
      <w:pPr>
        <w:spacing w:after="40"/>
        <w:ind w:left="283"/>
      </w:pPr>
      <w:r>
        <w:rPr>
          <w:sz w:val="22"/>
        </w:rPr>
        <w:t>Concretamente: (1) se redujo la distancia máxima de detección del LiDAR de 6,0 m a 2,5 m, procesando muchos menos puntos por barrido; (2) el DBSCAN se reimplementó sobre scipy.spatial.cKDTree en vez de scikit-learn, por incompatibilidad de esa biblioteca con la versión de Python del NUC; (3) se corrigieron conflictos de puerto y suscripciones duplicadas que dejaban procesos zombis compitiendo por el mismo hardware; (4) se simplificó el pipeline de detección (filtro de mediana + interpolación, en vez de procesado más pesado).</w:t>
      </w:r>
    </w:p>
    <w:p>
      <w:pPr>
        <w:spacing w:before="200" w:after="40"/>
      </w:pPr>
      <w:r>
        <w:rPr>
          <w:b/>
          <w:color w:val="10233F"/>
          <w:sz w:val="23"/>
        </w:rPr>
        <w:t>P: ¿Estos problemas afectaron a la validación final del gesto “casa”?</w:t>
      </w:r>
    </w:p>
    <w:p>
      <w:pPr>
        <w:spacing w:after="40"/>
        <w:ind w:left="283"/>
      </w:pPr>
      <w:r>
        <w:rPr>
          <w:sz w:val="22"/>
        </w:rPr>
        <w:t>No hay evidencia de que sí: con los seis nodos y Nav2 activos a la vez, la carga medida en la sesión final es de ~30 % por núcleo (4 núcleos), sin saturación. Es importante ser honestos aquí — no se ha aislado si algún pico de carga puntual contribuyó a los 2 fallos de localización, pero el dato de carga medida no apunta a saturación del NUC como causa. Los 2 fallos se explican por la localización (ver pregunta anterior), no por el hardware.</w:t>
      </w:r>
    </w:p>
    <w:p>
      <w:pPr>
        <w:spacing w:before="360" w:after="120"/>
      </w:pPr>
      <w:r>
        <w:rPr>
          <w:b/>
          <w:color w:val="0E7A70"/>
          <w:sz w:val="28"/>
        </w:rPr>
        <w:t>3. Sobre el estado de la memoria</w:t>
      </w:r>
    </w:p>
    <w:p>
      <w:pPr>
        <w:spacing w:before="200" w:after="40"/>
      </w:pPr>
      <w:r>
        <w:rPr>
          <w:b/>
          <w:color w:val="10233F"/>
          <w:sz w:val="23"/>
        </w:rPr>
        <w:t>P: Esta versión de la memoria, ¿está cerrada? ¿Va a cambiar algo más?</w:t>
      </w:r>
    </w:p>
    <w:p>
      <w:pPr>
        <w:spacing w:after="40"/>
        <w:ind w:left="283"/>
      </w:pPr>
      <w:r>
        <w:rPr>
          <w:sz w:val="22"/>
        </w:rPr>
        <w:t>Es la versión con la que se defiende. El apartado §7.9 (antes “trabajo pendiente”) se ha reescrito como §7.10 “Trabajo futuro”: recoge líneas de continuación que quedan fuera del alcance de este TFM, no tareas pendientes de la validación ya cerrada.</w:t>
      </w:r>
    </w:p>
    <w:p>
      <w:pPr>
        <w:spacing w:before="200" w:after="40"/>
      </w:pPr>
      <w:r>
        <w:rPr>
          <w:b/>
          <w:color w:val="10233F"/>
          <w:sz w:val="23"/>
        </w:rPr>
        <w:t>P: ¿Por qué la memoria dice en algunos sitios que el objetivo 5 está “sin probar” y en otros que está “parcialmente validado”?</w:t>
      </w:r>
    </w:p>
    <w:p>
      <w:pPr>
        <w:spacing w:after="40"/>
        <w:ind w:left="283"/>
      </w:pPr>
      <w:r>
        <w:rPr>
          <w:sz w:val="22"/>
        </w:rPr>
        <w:t>No debería — se revisó y corrigió Cap. 1 (tabla de objetivos), §5.10 y §7.9 para que los tres digan lo mismo: el gesto “casa” valida un primer paso del objetivo 5 (seguimiento + navegación integrados hacia un destino), con el guiado a varios destinos como alcance completo pendiente, documentado como trabajo futuro. Si el tribunal ve alguna inconsistencia, hay que anotarla y aclararla en el momento, con calma.</w:t>
      </w:r>
    </w:p>
    <w:p>
      <w:pPr>
        <w:pBdr>
          <w:bottom w:val="single" w:sz="6" w:space="1" w:color="CCCCCC"/>
        </w:pBdr>
      </w:pPr>
    </w:p>
    <w:p>
      <w:r>
        <w:rPr>
          <w:b/>
          <w:color w:val="10233F"/>
          <w:sz w:val="24"/>
        </w:rPr>
        <w:t>Cifras clave para tener a mano</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252"/>
          </w:tcPr>
          <w:p>
            <w:r>
              <w:t>Vueltas a casa completadas</w:t>
            </w:r>
          </w:p>
        </w:tc>
        <w:tc>
          <w:tcPr>
            <w:tcW w:type="dxa" w:w="4819"/>
          </w:tcPr>
          <w:p>
            <w:pPr>
              <w:spacing w:after="40"/>
            </w:pPr>
            <w:r>
              <w:rPr>
                <w:sz w:val="20"/>
              </w:rPr>
              <w:t>9 de 11 (82 %)</w:t>
            </w:r>
          </w:p>
        </w:tc>
      </w:tr>
      <w:tr>
        <w:tc>
          <w:tcPr>
            <w:tcW w:type="dxa" w:w="4252"/>
          </w:tcPr>
          <w:p>
            <w:pPr>
              <w:spacing w:after="40"/>
            </w:pPr>
            <w:r>
              <w:rPr>
                <w:sz w:val="20"/>
              </w:rPr>
              <w:t>Tiempo gesto → en casa</w:t>
            </w:r>
          </w:p>
        </w:tc>
        <w:tc>
          <w:tcPr>
            <w:tcW w:type="dxa" w:w="4819"/>
          </w:tcPr>
          <w:p>
            <w:pPr>
              <w:spacing w:after="40"/>
            </w:pPr>
            <w:r>
              <w:rPr>
                <w:sz w:val="20"/>
              </w:rPr>
              <w:t>15,5 s de media (11-21 s)</w:t>
            </w:r>
          </w:p>
        </w:tc>
      </w:tr>
      <w:tr>
        <w:tc>
          <w:tcPr>
            <w:tcW w:type="dxa" w:w="4252"/>
          </w:tcPr>
          <w:p>
            <w:pPr>
              <w:spacing w:after="40"/>
            </w:pPr>
            <w:r>
              <w:rPr>
                <w:sz w:val="20"/>
              </w:rPr>
              <w:t>Error de llegada</w:t>
            </w:r>
          </w:p>
        </w:tc>
        <w:tc>
          <w:tcPr>
            <w:tcW w:type="dxa" w:w="4819"/>
          </w:tcPr>
          <w:p>
            <w:pPr>
              <w:spacing w:after="40"/>
            </w:pPr>
            <w:r>
              <w:rPr>
                <w:sz w:val="20"/>
              </w:rPr>
              <w:t>0,27 m / 8° (tolerancia Nav2: 0,25 m / 14°)</w:t>
            </w:r>
          </w:p>
        </w:tc>
      </w:tr>
      <w:tr>
        <w:tc>
          <w:tcPr>
            <w:tcW w:type="dxa" w:w="4252"/>
          </w:tcPr>
          <w:p>
            <w:pPr>
              <w:spacing w:after="40"/>
            </w:pPr>
            <w:r>
              <w:rPr>
                <w:sz w:val="20"/>
              </w:rPr>
              <w:t>Cancelación con la mano izquierda</w:t>
            </w:r>
          </w:p>
        </w:tc>
        <w:tc>
          <w:tcPr>
            <w:tcW w:type="dxa" w:w="4819"/>
          </w:tcPr>
          <w:p>
            <w:pPr>
              <w:spacing w:after="40"/>
            </w:pPr>
            <w:r>
              <w:rPr>
                <w:sz w:val="20"/>
              </w:rPr>
              <w:t>Nav2 confirma en 20 ms</w:t>
            </w:r>
          </w:p>
        </w:tc>
      </w:tr>
      <w:tr>
        <w:tc>
          <w:tcPr>
            <w:tcW w:type="dxa" w:w="4252"/>
          </w:tcPr>
          <w:p>
            <w:pPr>
              <w:spacing w:after="40"/>
            </w:pPr>
            <w:r>
              <w:rPr>
                <w:sz w:val="20"/>
              </w:rPr>
              <w:t>Falsos positivos del gesto</w:t>
            </w:r>
          </w:p>
        </w:tc>
        <w:tc>
          <w:tcPr>
            <w:tcW w:type="dxa" w:w="4819"/>
          </w:tcPr>
          <w:p>
            <w:pPr>
              <w:spacing w:after="40"/>
            </w:pPr>
            <w:r>
              <w:rPr>
                <w:sz w:val="20"/>
              </w:rPr>
              <w:t>0 en ~4 min de gesticulación libre</w:t>
            </w:r>
          </w:p>
        </w:tc>
      </w:tr>
      <w:tr>
        <w:tc>
          <w:tcPr>
            <w:tcW w:type="dxa" w:w="4252"/>
          </w:tcPr>
          <w:p>
            <w:pPr>
              <w:spacing w:after="40"/>
            </w:pPr>
            <w:r>
              <w:rPr>
                <w:sz w:val="20"/>
              </w:rPr>
              <w:t>Causa de los 2 fallos</w:t>
            </w:r>
          </w:p>
        </w:tc>
        <w:tc>
          <w:tcPr>
            <w:tcW w:type="dxa" w:w="4819"/>
          </w:tcPr>
          <w:p>
            <w:pPr>
              <w:spacing w:after="40"/>
            </w:pPr>
            <w:r>
              <w:rPr>
                <w:sz w:val="20"/>
              </w:rPr>
              <w:t>Localización (AMCL ±0,5 m) junto a obstáculo del mapa</w:t>
            </w:r>
          </w:p>
        </w:tc>
      </w:tr>
      <w:tr>
        <w:tc>
          <w:tcPr>
            <w:tcW w:type="dxa" w:w="4252"/>
          </w:tcPr>
          <w:p>
            <w:pPr>
              <w:spacing w:after="40"/>
            </w:pPr>
            <w:r>
              <w:rPr>
                <w:sz w:val="20"/>
              </w:rPr>
              <w:t>Carga del NUC (sesión final, todo activo)</w:t>
            </w:r>
          </w:p>
        </w:tc>
        <w:tc>
          <w:tcPr>
            <w:tcW w:type="dxa" w:w="4819"/>
          </w:tcPr>
          <w:p>
            <w:pPr>
              <w:spacing w:after="40"/>
            </w:pPr>
            <w:r>
              <w:rPr>
                <w:sz w:val="20"/>
              </w:rPr>
              <w:t>~30 % por núcleo (4 núcleos), sin saturación</w:t>
            </w:r>
          </w:p>
        </w:tc>
      </w:tr>
      <w:tr>
        <w:tc>
          <w:tcPr>
            <w:tcW w:type="dxa" w:w="4252"/>
          </w:tcPr>
          <w:p>
            <w:pPr>
              <w:spacing w:after="40"/>
            </w:pPr>
            <w:r>
              <w:rPr>
                <w:sz w:val="20"/>
              </w:rPr>
              <w:t>Nav2 (Sesión 7, 27/07)</w:t>
            </w:r>
          </w:p>
        </w:tc>
        <w:tc>
          <w:tcPr>
            <w:tcW w:type="dxa" w:w="4819"/>
          </w:tcPr>
          <w:p>
            <w:pPr>
              <w:spacing w:after="40"/>
            </w:pPr>
            <w:r>
              <w:rPr>
                <w:sz w:val="20"/>
              </w:rPr>
              <w:t>6 de 7 objetivos, incl. evasión de obstáculo no mapeado</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