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233F"/>
          <w:sz w:val="36"/>
        </w:rPr>
        <w:t>Pendientes para la memoria del TFM</w:t>
      </w:r>
    </w:p>
    <w:p>
      <w:pPr>
        <w:spacing w:after="80"/>
      </w:pPr>
      <w:r>
        <w:rPr>
          <w:i/>
          <w:sz w:val="20"/>
        </w:rPr>
        <w:t>Juan Muñoz Rovira · preparado el 06/10/2026 · para revisar y enviar mañana</w:t>
      </w:r>
    </w:p>
    <w:p>
      <w:pPr>
        <w:spacing w:before="240" w:after="80"/>
      </w:pPr>
      <w:r>
        <w:rPr>
          <w:b/>
          <w:color w:val="10233F"/>
          <w:sz w:val="28"/>
        </w:rPr>
        <w:t>A. Formato APA: ya aplicado (versiones ES y EN)</w:t>
      </w:r>
    </w:p>
    <w:p>
      <w:pPr>
        <w:spacing w:after="80"/>
      </w:pPr>
      <w:r>
        <w:rPr>
          <w:i w:val="0"/>
          <w:sz w:val="21"/>
        </w:rPr>
        <w:t>•  Numeración de página arriba a la derecha, en todas las páginas.</w:t>
      </w:r>
    </w:p>
    <w:p>
      <w:pPr>
        <w:spacing w:after="80"/>
      </w:pPr>
      <w:r>
        <w:rPr>
          <w:i w:val="0"/>
          <w:sz w:val="21"/>
        </w:rPr>
        <w:t>•  Títulos de capítulo centrados y en negrita; niveles 2 y 3 alineados a la izquierda (nivel 3 en cursiva), todos en negro.</w:t>
      </w:r>
    </w:p>
    <w:p>
      <w:pPr>
        <w:spacing w:after="80"/>
      </w:pPr>
      <w:r>
        <w:rPr>
          <w:i w:val="0"/>
          <w:sz w:val="21"/>
        </w:rPr>
        <w:t>•  Pies de tabla y figura: “Figura 2.1” o “Tabla 4.1” en negrita, título en cursiva en la línea siguiente.</w:t>
      </w:r>
    </w:p>
    <w:p>
      <w:pPr>
        <w:spacing w:after="80"/>
      </w:pPr>
      <w:r>
        <w:rPr>
          <w:i w:val="0"/>
          <w:sz w:val="21"/>
        </w:rPr>
        <w:t>•  Bibliografía: sangría francesa, sin numeración automática, títulos de revista y volumen en cursiva.</w:t>
      </w:r>
    </w:p>
    <w:p>
      <w:pPr>
        <w:spacing w:after="80"/>
      </w:pPr>
      <w:r>
        <w:rPr>
          <w:i w:val="0"/>
          <w:sz w:val="21"/>
        </w:rPr>
        <w:t>•  Índice actualizado. El documento tiene 29 páginas en las dos versiones.</w:t>
      </w:r>
    </w:p>
    <w:p>
      <w:pPr>
        <w:spacing w:before="240" w:after="80"/>
      </w:pPr>
      <w:r>
        <w:rPr>
          <w:b/>
          <w:color w:val="10233F"/>
          <w:sz w:val="28"/>
        </w:rPr>
        <w:t>B. Lo que tienes que decidir o completar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93"/>
        <w:gridCol w:w="2493"/>
        <w:gridCol w:w="2493"/>
        <w:gridCol w:w="2493"/>
      </w:tblGrid>
      <w:tr>
        <w:tc>
          <w:tcPr>
            <w:tcW w:type="dxa" w:w="397"/>
            <w:shd w:val="clear" w:color="auto" w:fill="E3EEEC"/>
          </w:tcPr>
          <w:p>
            <w:r/>
            <w:r>
              <w:rPr>
                <w:b/>
                <w:sz w:val="19"/>
              </w:rPr>
              <w:t>#</w:t>
            </w:r>
          </w:p>
        </w:tc>
        <w:tc>
          <w:tcPr>
            <w:tcW w:type="dxa" w:w="1928"/>
            <w:shd w:val="clear" w:color="auto" w:fill="E3EEEC"/>
          </w:tcPr>
          <w:p>
            <w:r/>
            <w:r>
              <w:rPr>
                <w:b/>
                <w:sz w:val="19"/>
              </w:rPr>
              <w:t>Elemento</w:t>
            </w:r>
          </w:p>
        </w:tc>
        <w:tc>
          <w:tcPr>
            <w:tcW w:type="dxa" w:w="3402"/>
            <w:shd w:val="clear" w:color="auto" w:fill="E3EEEC"/>
          </w:tcPr>
          <w:p>
            <w:r/>
            <w:r>
              <w:rPr>
                <w:b/>
                <w:sz w:val="19"/>
              </w:rPr>
              <w:t>Problema</w:t>
            </w:r>
          </w:p>
        </w:tc>
        <w:tc>
          <w:tcPr>
            <w:tcW w:type="dxa" w:w="3969"/>
            <w:shd w:val="clear" w:color="auto" w:fill="E3EEEC"/>
          </w:tcPr>
          <w:p>
            <w:r/>
            <w:r>
              <w:rPr>
                <w:b/>
                <w:sz w:val="19"/>
              </w:rPr>
              <w:t>Qué hacer</w:t>
            </w:r>
          </w:p>
        </w:tc>
      </w:tr>
      <w:tr>
        <w:tc>
          <w:tcPr>
            <w:tcW w:type="dxa" w:w="397"/>
          </w:tcPr>
          <w:p>
            <w:r/>
            <w:r>
              <w:rPr>
                <w:sz w:val="18"/>
              </w:rPr>
              <w:t>1</w:t>
            </w:r>
          </w:p>
        </w:tc>
        <w:tc>
          <w:tcPr>
            <w:tcW w:type="dxa" w:w="1928"/>
          </w:tcPr>
          <w:p>
            <w:r/>
            <w:r>
              <w:rPr>
                <w:sz w:val="18"/>
              </w:rPr>
              <w:t>Schulz et al. (2003)</w:t>
            </w:r>
          </w:p>
        </w:tc>
        <w:tc>
          <w:tcPr>
            <w:tcW w:type="dxa" w:w="3402"/>
          </w:tcPr>
          <w:p>
            <w:r/>
            <w:r>
              <w:rPr>
                <w:sz w:val="18"/>
              </w:rPr>
              <w:t>Está en la bibliografía pero no se cita en el texto.</w:t>
            </w:r>
          </w:p>
        </w:tc>
        <w:tc>
          <w:tcPr>
            <w:tcW w:type="dxa" w:w="3969"/>
          </w:tcPr>
          <w:p>
            <w:r/>
            <w:r>
              <w:rPr>
                <w:sz w:val="18"/>
              </w:rPr>
              <w:t>Citarla en §5.7 junto a Bellotto y Hu (2010), o eliminarla de la bibliografía.</w:t>
            </w:r>
          </w:p>
        </w:tc>
      </w:tr>
      <w:tr>
        <w:tc>
          <w:tcPr>
            <w:tcW w:type="dxa" w:w="397"/>
          </w:tcPr>
          <w:p>
            <w:r/>
            <w:r>
              <w:rPr>
                <w:sz w:val="18"/>
              </w:rPr>
              <w:t>2</w:t>
            </w:r>
          </w:p>
        </w:tc>
        <w:tc>
          <w:tcPr>
            <w:tcW w:type="dxa" w:w="1928"/>
          </w:tcPr>
          <w:p>
            <w:r/>
            <w:r>
              <w:rPr>
                <w:sz w:val="18"/>
              </w:rPr>
              <w:t>“y” o “&amp;”</w:t>
            </w:r>
          </w:p>
        </w:tc>
        <w:tc>
          <w:tcPr>
            <w:tcW w:type="dxa" w:w="3402"/>
          </w:tcPr>
          <w:p>
            <w:r/>
            <w:r>
              <w:rPr>
                <w:sz w:val="18"/>
              </w:rPr>
              <w:t>En las referencias y en las citas entre paréntesis se usa “y”.</w:t>
            </w:r>
          </w:p>
        </w:tc>
        <w:tc>
          <w:tcPr>
            <w:tcW w:type="dxa" w:w="3969"/>
          </w:tcPr>
          <w:p>
            <w:r/>
            <w:r>
              <w:rPr>
                <w:sz w:val="18"/>
              </w:rPr>
              <w:t>Si tu programa exige APA 7 estándar, cámbialo a “&amp;” en referencias y en paréntesis (Bellotto &amp; Hu, 2010). Dime cuál aplica.</w:t>
            </w:r>
          </w:p>
        </w:tc>
      </w:tr>
      <w:tr>
        <w:tc>
          <w:tcPr>
            <w:tcW w:type="dxa" w:w="397"/>
          </w:tcPr>
          <w:p>
            <w:r/>
            <w:r>
              <w:rPr>
                <w:sz w:val="18"/>
              </w:rPr>
              <w:t>3</w:t>
            </w:r>
          </w:p>
        </w:tc>
        <w:tc>
          <w:tcPr>
            <w:tcW w:type="dxa" w:w="1928"/>
          </w:tcPr>
          <w:p>
            <w:r/>
            <w:r>
              <w:rPr>
                <w:sz w:val="18"/>
              </w:rPr>
              <w:t>Yao et al. (2023): “En:”</w:t>
            </w:r>
          </w:p>
        </w:tc>
        <w:tc>
          <w:tcPr>
            <w:tcW w:type="dxa" w:w="3402"/>
          </w:tcPr>
          <w:p>
            <w:r/>
            <w:r>
              <w:rPr>
                <w:sz w:val="18"/>
              </w:rPr>
              <w:t>En APA en inglés se escribe “In:”.</w:t>
            </w:r>
          </w:p>
        </w:tc>
        <w:tc>
          <w:tcPr>
            <w:tcW w:type="dxa" w:w="3969"/>
          </w:tcPr>
          <w:p>
            <w:r/>
            <w:r>
              <w:rPr>
                <w:sz w:val="18"/>
              </w:rPr>
              <w:t>Elige “In:” o “En:” según la norma del documento, y mantenlo coherente.</w:t>
            </w:r>
          </w:p>
        </w:tc>
      </w:tr>
      <w:tr>
        <w:tc>
          <w:tcPr>
            <w:tcW w:type="dxa" w:w="397"/>
          </w:tcPr>
          <w:p>
            <w:r/>
            <w:r>
              <w:rPr>
                <w:sz w:val="18"/>
              </w:rPr>
              <w:t>4</w:t>
            </w:r>
          </w:p>
        </w:tc>
        <w:tc>
          <w:tcPr>
            <w:tcW w:type="dxa" w:w="1928"/>
          </w:tcPr>
          <w:p>
            <w:r/>
            <w:r>
              <w:rPr>
                <w:sz w:val="18"/>
              </w:rPr>
              <w:t>Grishchenko et al. (2022)</w:t>
            </w:r>
          </w:p>
        </w:tc>
        <w:tc>
          <w:tcPr>
            <w:tcW w:type="dxa" w:w="3402"/>
          </w:tcPr>
          <w:p>
            <w:r/>
            <w:r>
              <w:rPr>
                <w:sz w:val="18"/>
              </w:rPr>
              <w:t>APA 7 exige listar todos los autores; aquí aparece “et al.” en la referencia.</w:t>
            </w:r>
          </w:p>
        </w:tc>
        <w:tc>
          <w:tcPr>
            <w:tcW w:type="dxa" w:w="3969"/>
          </w:tcPr>
          <w:p>
            <w:r/>
            <w:r>
              <w:rPr>
                <w:sz w:val="18"/>
              </w:rPr>
              <w:t>Completar con la lista de autores de arXiv:2206.11678 (copia de la página del artículo).</w:t>
            </w:r>
          </w:p>
        </w:tc>
      </w:tr>
      <w:tr>
        <w:tc>
          <w:tcPr>
            <w:tcW w:type="dxa" w:w="397"/>
          </w:tcPr>
          <w:p>
            <w:r/>
            <w:r>
              <w:rPr>
                <w:sz w:val="18"/>
              </w:rPr>
              <w:t>5</w:t>
            </w:r>
          </w:p>
        </w:tc>
        <w:tc>
          <w:tcPr>
            <w:tcW w:type="dxa" w:w="1928"/>
          </w:tcPr>
          <w:p>
            <w:r/>
            <w:r>
              <w:rPr>
                <w:sz w:val="18"/>
              </w:rPr>
              <w:t>DOI</w:t>
            </w:r>
          </w:p>
        </w:tc>
        <w:tc>
          <w:tcPr>
            <w:tcW w:type="dxa" w:w="3402"/>
          </w:tcPr>
          <w:p>
            <w:r/>
            <w:r>
              <w:rPr>
                <w:sz w:val="18"/>
              </w:rPr>
              <w:t>Ninguna referencia tiene DOI.</w:t>
            </w:r>
          </w:p>
        </w:tc>
        <w:tc>
          <w:tcPr>
            <w:tcW w:type="dxa" w:w="3969"/>
          </w:tcPr>
          <w:p>
            <w:r/>
            <w:r>
              <w:rPr>
                <w:sz w:val="18"/>
              </w:rPr>
              <w:t>Añadir el DOI de cada artículo. Para los preprints de arXiv: https://doi.org/10.48550/arXiv.XXXX (Bazarevsky 2006.10204; Grishchenko 2206.11678; Macenski 2003.00368; Minase 2604.00363).</w:t>
            </w:r>
          </w:p>
        </w:tc>
      </w:tr>
      <w:tr>
        <w:tc>
          <w:tcPr>
            <w:tcW w:type="dxa" w:w="397"/>
          </w:tcPr>
          <w:p>
            <w:r/>
            <w:r>
              <w:rPr>
                <w:sz w:val="18"/>
              </w:rPr>
              <w:t>6</w:t>
            </w:r>
          </w:p>
        </w:tc>
        <w:tc>
          <w:tcPr>
            <w:tcW w:type="dxa" w:w="1928"/>
          </w:tcPr>
          <w:p>
            <w:r/>
            <w:r>
              <w:rPr>
                <w:sz w:val="18"/>
              </w:rPr>
              <w:t>Tablas sin título numerado</w:t>
            </w:r>
          </w:p>
        </w:tc>
        <w:tc>
          <w:tcPr>
            <w:tcW w:type="dxa" w:w="3402"/>
          </w:tcPr>
          <w:p>
            <w:r/>
            <w:r>
              <w:rPr>
                <w:sz w:val="18"/>
              </w:rPr>
              <w:t>Hay tablas sin el encabezado “Tabla X.Y”: Tabla 1.1 (fases), Tabla 3.1 (IA) y las seis tablas del Capítulo 7.</w:t>
            </w:r>
          </w:p>
        </w:tc>
        <w:tc>
          <w:tcPr>
            <w:tcW w:type="dxa" w:w="3969"/>
          </w:tcPr>
          <w:p>
            <w:r/>
            <w:r>
              <w:rPr>
                <w:sz w:val="18"/>
              </w:rPr>
              <w:t>Propongo numerarlas y titularlas así: Tabla 1.1 (fases del proyecto); Tabla 3.1 (proporción de trabajo y apoyo de IA por tarea); Tabla 7.1 (fusión sin movimiento, 25/06); Tabla 7.2 (correcciones de continuidad, 08/07); Tabla 7.3 (escenarios con el sistema estabilizado, 22/07); Tabla 7.4 (obstáculo, 22-23/07); Tabla 7.5 (navegación Nav2, 27/07); Tabla 7.6 (métricas del gesto “casa”, 23/09). Los títulos finales los decides tú.</w:t>
            </w:r>
          </w:p>
        </w:tc>
      </w:tr>
      <w:tr>
        <w:tc>
          <w:tcPr>
            <w:tcW w:type="dxa" w:w="397"/>
          </w:tcPr>
          <w:p>
            <w:r/>
            <w:r>
              <w:rPr>
                <w:sz w:val="18"/>
              </w:rPr>
              <w:t>7</w:t>
            </w:r>
          </w:p>
        </w:tc>
        <w:tc>
          <w:tcPr>
            <w:tcW w:type="dxa" w:w="1928"/>
          </w:tcPr>
          <w:p>
            <w:r/>
            <w:r>
              <w:rPr>
                <w:sz w:val="18"/>
              </w:rPr>
              <w:t>Portada inglesa</w:t>
            </w:r>
          </w:p>
        </w:tc>
        <w:tc>
          <w:tcPr>
            <w:tcW w:type="dxa" w:w="3402"/>
          </w:tcPr>
          <w:p>
            <w:r/>
            <w:r>
              <w:rPr>
                <w:sz w:val="18"/>
              </w:rPr>
              <w:t>En la versión EN, la portada dice “Master's Degree in [master's programme name]”: el marcador sigue sin rellenar.</w:t>
            </w:r>
          </w:p>
        </w:tc>
        <w:tc>
          <w:tcPr>
            <w:tcW w:type="dxa" w:w="3969"/>
          </w:tcPr>
          <w:p>
            <w:r/>
            <w:r>
              <w:rPr>
                <w:sz w:val="18"/>
              </w:rPr>
              <w:t>Escribir el nombre del máster. (En la versión ES ya aparece “Máster en Sistemas inteligentes”.)</w:t>
            </w:r>
          </w:p>
        </w:tc>
      </w:tr>
      <w:tr>
        <w:tc>
          <w:tcPr>
            <w:tcW w:type="dxa" w:w="397"/>
          </w:tcPr>
          <w:p>
            <w:r/>
            <w:r>
              <w:rPr>
                <w:sz w:val="18"/>
              </w:rPr>
              <w:t>8</w:t>
            </w:r>
          </w:p>
        </w:tc>
        <w:tc>
          <w:tcPr>
            <w:tcW w:type="dxa" w:w="1928"/>
          </w:tcPr>
          <w:p>
            <w:r/>
            <w:r>
              <w:rPr>
                <w:sz w:val="18"/>
              </w:rPr>
              <w:t>Figuras con fuente</w:t>
            </w:r>
          </w:p>
        </w:tc>
        <w:tc>
          <w:tcPr>
            <w:tcW w:type="dxa" w:w="3402"/>
          </w:tcPr>
          <w:p>
            <w:r/>
            <w:r>
              <w:rPr>
                <w:sz w:val="18"/>
              </w:rPr>
              <w:t>Las figuras 2.1 a 2.5 son diagramas propios, pero APA pide nota cuando una figura procede de otra fuente.</w:t>
            </w:r>
          </w:p>
        </w:tc>
        <w:tc>
          <w:tcPr>
            <w:tcW w:type="dxa" w:w="3969"/>
          </w:tcPr>
          <w:p>
            <w:r/>
            <w:r>
              <w:rPr>
                <w:sz w:val="18"/>
              </w:rPr>
              <w:t>Si son tuyas, no hace falta nota. Si alguna se basa en documentación (p. ej. la arquitectura de Nav2), añade “Nota. Adaptada de …”.</w:t>
            </w:r>
          </w:p>
        </w:tc>
      </w:tr>
      <w:tr>
        <w:tc>
          <w:tcPr>
            <w:tcW w:type="dxa" w:w="397"/>
          </w:tcPr>
          <w:p>
            <w:r/>
            <w:r>
              <w:rPr>
                <w:sz w:val="18"/>
              </w:rPr>
              <w:t>9</w:t>
            </w:r>
          </w:p>
        </w:tc>
        <w:tc>
          <w:tcPr>
            <w:tcW w:type="dxa" w:w="1928"/>
          </w:tcPr>
          <w:p>
            <w:r/>
            <w:r>
              <w:rPr>
                <w:sz w:val="18"/>
              </w:rPr>
              <w:t>Declaración de IA (§3.1 y §3.2.1)</w:t>
            </w:r>
          </w:p>
        </w:tc>
        <w:tc>
          <w:tcPr>
            <w:tcW w:type="dxa" w:w="3402"/>
          </w:tcPr>
          <w:p>
            <w:r/>
            <w:r>
              <w:rPr>
                <w:sz w:val="18"/>
              </w:rPr>
              <w:t>El texto dice que el asistente “no redactó el análisis del estado del arte ni las conclusiones”. Eso ya no es exacto: la IA recortó y reformuló párrafos de los capítulos 1, 2, 5, 6 y 7.</w:t>
            </w:r>
          </w:p>
        </w:tc>
        <w:tc>
          <w:tcPr>
            <w:tcW w:type="dxa" w:w="3969"/>
          </w:tcPr>
          <w:p>
            <w:r/>
            <w:r>
              <w:rPr>
                <w:sz w:val="18"/>
              </w:rPr>
              <w:t>Actualizar la declaración con la redacción de la sección D (propuesta abajo).</w:t>
            </w:r>
          </w:p>
        </w:tc>
      </w:tr>
    </w:tbl>
    <w:p>
      <w:pPr>
        <w:spacing w:before="240" w:after="80"/>
      </w:pPr>
      <w:r>
        <w:rPr>
          <w:b/>
          <w:color w:val="10233F"/>
          <w:sz w:val="28"/>
        </w:rPr>
        <w:t>C. Frases a reescribir con tus palabras</w:t>
      </w:r>
    </w:p>
    <w:p>
      <w:pPr>
        <w:spacing w:after="80"/>
      </w:pPr>
      <w:r>
        <w:rPr>
          <w:i w:val="0"/>
          <w:sz w:val="20"/>
        </w:rPr>
        <w:t>Lista de frases detectadas en la versión ES. Sirve para bajar la densidad de guiones largos (los incisos entre rayas), las muletillas y los párrafos que redacté yo en las últimas sesiones. No hace falta cambiarlas todas: prioriza las marcadas como “Párrafo redactado con IA”. La última columna es para tu versión.</w:t>
      </w:r>
    </w:p>
    <w:p>
      <w:pPr>
        <w:spacing w:after="80"/>
      </w:pPr>
      <w:r>
        <w:rPr>
          <w:i/>
          <w:sz w:val="21"/>
        </w:rPr>
        <w:t>C1. Párrafos redactados o reformulados por la IA (prioridad alta)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Texto actual</w:t>
            </w:r>
          </w:p>
        </w:tc>
        <w:tc>
          <w:tcPr>
            <w:tcW w:type="dxa" w:w="1644"/>
            <w:shd w:val="clear" w:color="auto" w:fill="E3EEEC"/>
          </w:tcPr>
          <w:p>
            <w:r/>
            <w:r>
              <w:rPr>
                <w:b/>
                <w:sz w:val="19"/>
              </w:rPr>
              <w:t>Tu versión</w:t>
            </w:r>
          </w:p>
        </w:tc>
      </w:tr>
      <w:tr>
        <w:tc>
          <w:tcPr>
            <w:tcW w:type="dxa" w:w="510"/>
          </w:tcPr>
          <w:p>
            <w:r/>
            <w:r>
              <w:rPr>
                <w:sz w:val="18"/>
              </w:rPr>
              <w:t>M1</w:t>
            </w:r>
          </w:p>
        </w:tc>
        <w:tc>
          <w:tcPr>
            <w:tcW w:type="dxa" w:w="1474"/>
          </w:tcPr>
          <w:p>
            <w:r/>
            <w:r>
              <w:rPr>
                <w:sz w:val="18"/>
              </w:rPr>
              <w:t>Preliminares</w:t>
            </w:r>
          </w:p>
        </w:tc>
        <w:tc>
          <w:tcPr>
            <w:tcW w:type="dxa" w:w="1701"/>
          </w:tcPr>
          <w:p>
            <w:r/>
            <w:r>
              <w:rPr>
                <w:sz w:val="18"/>
              </w:rPr>
              <w:t>Nota sobre el estado de este documento</w:t>
            </w:r>
          </w:p>
        </w:tc>
        <w:tc>
          <w:tcPr>
            <w:tcW w:type="dxa" w:w="4309"/>
          </w:tcPr>
          <w:p>
            <w:r/>
            <w:r>
              <w:rPr>
                <w:sz w:val="18"/>
              </w:rPr>
              <w:t>Este documento reúne los siete capítulos de la memoria técnica del TFM, elaborados a partir del contenido y los datos recogidos en el repositorio del proyecto, incluida la validación del gesto “casa” del 23 de septiembre de 2026 (§7.8). El Capítulo 7 refleja la validación experimental cerrada a fecha de redacción; las líneas que quedan fuera del alcance de este TFM se recogen como trabajo futuro en §7.10.</w:t>
            </w:r>
          </w:p>
        </w:tc>
        <w:tc>
          <w:tcPr>
            <w:tcW w:type="dxa" w:w="1644"/>
          </w:tcPr>
          <w:p>
            <w:r/>
            <w:r>
              <w:rPr>
                <w:sz w:val="18"/>
              </w:rPr>
            </w:r>
          </w:p>
        </w:tc>
      </w:tr>
      <w:tr>
        <w:tc>
          <w:tcPr>
            <w:tcW w:type="dxa" w:w="510"/>
          </w:tcPr>
          <w:p>
            <w:r/>
            <w:r>
              <w:rPr>
                <w:sz w:val="18"/>
              </w:rPr>
              <w:t>M2</w:t>
            </w:r>
          </w:p>
        </w:tc>
        <w:tc>
          <w:tcPr>
            <w:tcW w:type="dxa" w:w="1474"/>
          </w:tcPr>
          <w:p>
            <w:r/>
            <w:r>
              <w:rPr>
                <w:sz w:val="18"/>
              </w:rPr>
              <w:t>Cap. 1 — Introducción y planteamiento d</w:t>
            </w:r>
          </w:p>
        </w:tc>
        <w:tc>
          <w:tcPr>
            <w:tcW w:type="dxa" w:w="1701"/>
          </w:tcPr>
          <w:p>
            <w:r/>
            <w:r>
              <w:rPr>
                <w:sz w:val="18"/>
              </w:rPr>
              <w:t>1.2 Objetivos del TFM</w:t>
            </w:r>
          </w:p>
        </w:tc>
        <w:tc>
          <w:tcPr>
            <w:tcW w:type="dxa" w:w="4309"/>
          </w:tcPr>
          <w:p>
            <w:r/>
            <w:r>
              <w:rPr>
                <w:sz w:val="18"/>
              </w:rPr>
              <w:t>Guiado de usuarios. Implementación de comportamientos de acompañamiento hacia destinos predefinidos del edificio. Primer paso validado en el robot real el 23 de septiembre de 2026: el gesto “casa” integra seguimiento y navegación en un único sistema, con 9 de 11 vueltas a casa completadas (82 %) y 0,27 m de error medio de llegada (§7.8). El guiado a varios destinos queda como trabajo futuro (§7.10).</w:t>
            </w:r>
          </w:p>
        </w:tc>
        <w:tc>
          <w:tcPr>
            <w:tcW w:type="dxa" w:w="1644"/>
          </w:tcPr>
          <w:p>
            <w:r/>
            <w:r>
              <w:rPr>
                <w:sz w:val="18"/>
              </w:rPr>
            </w:r>
          </w:p>
        </w:tc>
      </w:tr>
      <w:tr>
        <w:tc>
          <w:tcPr>
            <w:tcW w:type="dxa" w:w="510"/>
          </w:tcPr>
          <w:p>
            <w:r/>
            <w:r>
              <w:rPr>
                <w:sz w:val="18"/>
              </w:rPr>
              <w:t>M3</w:t>
            </w:r>
          </w:p>
        </w:tc>
        <w:tc>
          <w:tcPr>
            <w:tcW w:type="dxa" w:w="1474"/>
          </w:tcPr>
          <w:p>
            <w:r/>
            <w:r>
              <w:rPr>
                <w:sz w:val="18"/>
              </w:rPr>
              <w:t>Cap. 4 — Diario de desarrollo</w:t>
            </w:r>
          </w:p>
        </w:tc>
        <w:tc>
          <w:tcPr>
            <w:tcW w:type="dxa" w:w="1701"/>
          </w:tcPr>
          <w:p>
            <w:r/>
            <w:r>
              <w:rPr>
                <w:sz w:val="18"/>
              </w:rPr>
              <w:t>Inicio del capítulo</w:t>
            </w:r>
          </w:p>
        </w:tc>
        <w:tc>
          <w:tcPr>
            <w:tcW w:type="dxa" w:w="4309"/>
          </w:tcPr>
          <w:p>
            <w:r/>
            <w:r>
              <w:rPr>
                <w:sz w:val="18"/>
              </w:rPr>
              <w:t>Este capítulo resume, sesión a sesión, los hitos técnicos y correcciones del proyecto. La Tabla 4.1 recoge la cronología completa; a diferencia del Capítulo 6 (estado final de cada módulo), aquí se documenta el proceso iterativo. La Fase 4 se cerró con la validación del gesto “casa” el 23 de septiembre de 2026 (véase también §7.8 y §7.10).</w:t>
            </w:r>
          </w:p>
        </w:tc>
        <w:tc>
          <w:tcPr>
            <w:tcW w:type="dxa" w:w="1644"/>
          </w:tcPr>
          <w:p>
            <w:r/>
            <w:r>
              <w:rPr>
                <w:sz w:val="18"/>
              </w:rPr>
            </w:r>
          </w:p>
        </w:tc>
      </w:tr>
      <w:tr>
        <w:tc>
          <w:tcPr>
            <w:tcW w:type="dxa" w:w="510"/>
          </w:tcPr>
          <w:p>
            <w:r/>
            <w:r>
              <w:rPr>
                <w:sz w:val="18"/>
              </w:rPr>
              <w:t>M4</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 sistema no introduce ningún método individualmente novedoso: cada subsistema —detección por clustering, MediaPipe Pose, fusión tardía LiDAR-cámara, Kalman lineal, evitación reactiva, SLAM Toolbox, Nav2— reutiliza técnicas establecidas. Su contribución está en la integración sobre una plataforma real con recursos limitados, y en las adaptaciones prácticas que exige:</w:t>
            </w:r>
          </w:p>
        </w:tc>
        <w:tc>
          <w:tcPr>
            <w:tcW w:type="dxa" w:w="1644"/>
          </w:tcPr>
          <w:p>
            <w:r/>
            <w:r>
              <w:rPr>
                <w:sz w:val="18"/>
              </w:rPr>
            </w:r>
          </w:p>
        </w:tc>
      </w:tr>
      <w:tr>
        <w:tc>
          <w:tcPr>
            <w:tcW w:type="dxa" w:w="510"/>
          </w:tcPr>
          <w:p>
            <w:r/>
            <w:r>
              <w:rPr>
                <w:sz w:val="18"/>
              </w:rPr>
              <w:t>M5</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Reimplementación de DBSCAN sobre scipy.cKDTree ante una incompatibilidad de scikit-learn con la versión de Python del NUC (§2.3.1).</w:t>
            </w:r>
          </w:p>
        </w:tc>
        <w:tc>
          <w:tcPr>
            <w:tcW w:type="dxa" w:w="1644"/>
          </w:tcPr>
          <w:p>
            <w:r/>
            <w:r>
              <w:rPr>
                <w:sz w:val="18"/>
              </w:rPr>
            </w:r>
          </w:p>
        </w:tc>
      </w:tr>
      <w:tr>
        <w:tc>
          <w:tcPr>
            <w:tcW w:type="dxa" w:w="510"/>
          </w:tcPr>
          <w:p>
            <w:r/>
            <w:r>
              <w:rPr>
                <w:sz w:val="18"/>
              </w:rPr>
              <w:t>M6</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esquema de fusión LiDAR-cámara deliberadamente asimétrico y ligero en requisitos de calibración, frente a los esquemas de fusión más simétricos o basados en aprendizaje profundo de la literatura reciente (§5.5).</w:t>
            </w:r>
          </w:p>
        </w:tc>
        <w:tc>
          <w:tcPr>
            <w:tcW w:type="dxa" w:w="1644"/>
          </w:tcPr>
          <w:p>
            <w:r/>
            <w:r>
              <w:rPr>
                <w:sz w:val="18"/>
              </w:rPr>
            </w:r>
          </w:p>
        </w:tc>
      </w:tr>
      <w:tr>
        <w:tc>
          <w:tcPr>
            <w:tcW w:type="dxa" w:w="510"/>
          </w:tcPr>
          <w:p>
            <w:r/>
            <w:r>
              <w:rPr>
                <w:sz w:val="18"/>
              </w:rPr>
              <w:t>M7</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Elección de un filtro de Kalman lineal, no un EKF o UKF, aprovechando que el modelo de observación de este sistema concreto ya es lineal (§5.7).</w:t>
            </w:r>
          </w:p>
        </w:tc>
        <w:tc>
          <w:tcPr>
            <w:tcW w:type="dxa" w:w="1644"/>
          </w:tcPr>
          <w:p>
            <w:r/>
            <w:r>
              <w:rPr>
                <w:sz w:val="18"/>
              </w:rPr>
            </w:r>
          </w:p>
        </w:tc>
      </w:tr>
      <w:tr>
        <w:tc>
          <w:tcPr>
            <w:tcW w:type="dxa" w:w="510"/>
          </w:tcPr>
          <w:p>
            <w:r/>
            <w:r>
              <w:rPr>
                <w:sz w:val="18"/>
              </w:rPr>
              <w:t>M8</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vocabulario de gestos mínimo (dos gestos) ajustado estrictamente a la necesidad de iniciar y detener el seguimiento, y no a una interacción general (§5.6).</w:t>
            </w:r>
          </w:p>
        </w:tc>
        <w:tc>
          <w:tcPr>
            <w:tcW w:type="dxa" w:w="1644"/>
          </w:tcPr>
          <w:p>
            <w:r/>
            <w:r>
              <w:rPr>
                <w:sz w:val="18"/>
              </w:rPr>
            </w:r>
          </w:p>
        </w:tc>
      </w:tr>
      <w:tr>
        <w:tc>
          <w:tcPr>
            <w:tcW w:type="dxa" w:w="510"/>
          </w:tcPr>
          <w:p>
            <w:r/>
            <w:r>
              <w:rPr>
                <w:sz w:val="18"/>
              </w:rPr>
              <w:t>M9</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Un alcance de Nav2 recortado a una demostración mínima por restricciones reales de tiempo de laboratorio, documentado como tal y no como limitación de la técnica (§5.9, §1.4).</w:t>
            </w:r>
          </w:p>
        </w:tc>
        <w:tc>
          <w:tcPr>
            <w:tcW w:type="dxa" w:w="1644"/>
          </w:tcPr>
          <w:p>
            <w:r/>
            <w:r>
              <w:rPr>
                <w:sz w:val="18"/>
              </w:rPr>
            </w:r>
          </w:p>
        </w:tc>
      </w:tr>
      <w:tr>
        <w:tc>
          <w:tcPr>
            <w:tcW w:type="dxa" w:w="510"/>
          </w:tcPr>
          <w:p>
            <w:r/>
            <w:r>
              <w:rPr>
                <w:sz w:val="18"/>
              </w:rPr>
              <w:t>M10</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r>
              <w:rPr>
                <w:sz w:val="18"/>
              </w:rPr>
            </w:r>
          </w:p>
        </w:tc>
      </w:tr>
      <w:tr>
        <w:tc>
          <w:tcPr>
            <w:tcW w:type="dxa" w:w="510"/>
          </w:tcPr>
          <w:p>
            <w:r/>
            <w:r>
              <w:rPr>
                <w:sz w:val="18"/>
              </w:rPr>
              <w:t>M11</w:t>
            </w:r>
          </w:p>
        </w:tc>
        <w:tc>
          <w:tcPr>
            <w:tcW w:type="dxa" w:w="1474"/>
          </w:tcPr>
          <w:p>
            <w:r/>
            <w:r>
              <w:rPr>
                <w:sz w:val="18"/>
              </w:rPr>
              <w:t>Cap. 7 — Resultados y evaluación</w:t>
            </w:r>
          </w:p>
        </w:tc>
        <w:tc>
          <w:tcPr>
            <w:tcW w:type="dxa" w:w="1701"/>
          </w:tcPr>
          <w:p>
            <w:r/>
            <w:r>
              <w:rPr>
                <w:sz w:val="18"/>
              </w:rPr>
              <w:t>Inicio del capítulo</w:t>
            </w:r>
          </w:p>
        </w:tc>
        <w:tc>
          <w:tcPr>
            <w:tcW w:type="dxa" w:w="4309"/>
          </w:tcPr>
          <w:p>
            <w:r/>
            <w:r>
              <w:rPr>
                <w:sz w:val="18"/>
              </w:rPr>
              <w:t>Nota sobre el estado de este capítulo: los datos corresponden a la validación completada en el laboratorio de la UJI, con la sesión final del 23 de septiembre de 2026 (§7.8). Varios escenarios cuentan con un tamaño muestral reducido, documentado explícitamente en §7.9; las líneas de trabajo que exceden el alcance de este TFM se recogen en §7.10.</w:t>
            </w:r>
          </w:p>
        </w:tc>
        <w:tc>
          <w:tcPr>
            <w:tcW w:type="dxa" w:w="1644"/>
          </w:tcPr>
          <w:p>
            <w:r/>
            <w:r>
              <w:rPr>
                <w:sz w:val="18"/>
              </w:rPr>
            </w:r>
          </w:p>
        </w:tc>
      </w:tr>
      <w:tr>
        <w:tc>
          <w:tcPr>
            <w:tcW w:type="dxa" w:w="510"/>
          </w:tcPr>
          <w:p>
            <w:r/>
            <w:r>
              <w:rPr>
                <w:sz w:val="18"/>
              </w:rPr>
              <w:t>M12</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Última sesión de laboratorio. Con un gesto (“tejado”: ambas manos juntas sobre la cabeza), el usuario ordena al robot que deje de seguirle y vuelva de forma autónoma, con Nav2, a una pose “casa” predefinida — la primera integración de seguimiento y navegación en un único sistema, con control_node arbitrando qué fuente de velocidad llega a la base (§2.3.4, §6.6).</w:t>
            </w:r>
          </w:p>
        </w:tc>
        <w:tc>
          <w:tcPr>
            <w:tcW w:type="dxa" w:w="1644"/>
          </w:tcPr>
          <w:p>
            <w:r/>
            <w:r>
              <w:rPr>
                <w:sz w:val="18"/>
              </w:rPr>
            </w:r>
          </w:p>
        </w:tc>
      </w:tr>
      <w:tr>
        <w:tc>
          <w:tcPr>
            <w:tcW w:type="dxa" w:w="510"/>
          </w:tcPr>
          <w:p>
            <w:r/>
            <w:r>
              <w:rPr>
                <w:sz w:val="18"/>
              </w:rPr>
              <w:t>M13</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Los 2 fallos no se debieron al gesto ni a la máquina de estados: la localización (AMCL, σ≈0,5 m) situó al robot dentro de la zona de seguridad de un obstáculo del mapa, y el planificador no encontró una ruta válida desde ahí; el robot volvió a reposo de forma segura. Es un primer resultado, con una muestra de 11 intentos en una única sesión (véase §7.9).</w:t>
            </w:r>
          </w:p>
        </w:tc>
        <w:tc>
          <w:tcPr>
            <w:tcW w:type="dxa" w:w="1644"/>
          </w:tcPr>
          <w:p>
            <w:r/>
            <w:r>
              <w:rPr>
                <w:sz w:val="18"/>
              </w:rPr>
            </w:r>
          </w:p>
        </w:tc>
      </w:tr>
      <w:tr>
        <w:tc>
          <w:tcPr>
            <w:tcW w:type="dxa" w:w="510"/>
          </w:tcPr>
          <w:p>
            <w:r/>
            <w:r>
              <w:rPr>
                <w:sz w:val="18"/>
              </w:rPr>
              <w:t>M14</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Tamaño muestral limitado: varias filas corresponden a una única toma, sin medida de varianza entre pruebas equivalentes; parada y oclusión se mantienen en una sola repetición al cierre de este capítulo.</w:t>
            </w:r>
          </w:p>
        </w:tc>
        <w:tc>
          <w:tcPr>
            <w:tcW w:type="dxa" w:w="1644"/>
          </w:tcPr>
          <w:p>
            <w:r/>
            <w:r>
              <w:rPr>
                <w:sz w:val="18"/>
              </w:rPr>
            </w:r>
          </w:p>
        </w:tc>
      </w:tr>
      <w:tr>
        <w:tc>
          <w:tcPr>
            <w:tcW w:type="dxa" w:w="510"/>
          </w:tcPr>
          <w:p>
            <w:r/>
            <w:r>
              <w:rPr>
                <w:sz w:val="18"/>
              </w:rPr>
              <w:t>M15</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Duraciones no comparables: las tomas del apartado 7.4 tienen duraciones muy distintas, por lo que las cifras son proporciones dentro de cada toma, no valores normalizados.</w:t>
            </w:r>
          </w:p>
        </w:tc>
        <w:tc>
          <w:tcPr>
            <w:tcW w:type="dxa" w:w="1644"/>
          </w:tcPr>
          <w:p>
            <w:r/>
            <w:r>
              <w:rPr>
                <w:sz w:val="18"/>
              </w:rPr>
            </w:r>
          </w:p>
        </w:tc>
      </w:tr>
      <w:tr>
        <w:tc>
          <w:tcPr>
            <w:tcW w:type="dxa" w:w="510"/>
          </w:tcPr>
          <w:p>
            <w:r/>
            <w:r>
              <w:rPr>
                <w:sz w:val="18"/>
              </w:rPr>
              <w:t>M16</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Gesto de activación infrarrepresentado: las tomas del 8 de julio se activaron con un mecanismo manual, no con el gesto real, así que el objetivo 1 no está representado ahí; sí en las tomas posteriores al 9 de julio.</w:t>
            </w:r>
          </w:p>
        </w:tc>
        <w:tc>
          <w:tcPr>
            <w:tcW w:type="dxa" w:w="1644"/>
          </w:tcPr>
          <w:p>
            <w:r/>
            <w:r>
              <w:rPr>
                <w:sz w:val="18"/>
              </w:rPr>
            </w:r>
          </w:p>
        </w:tc>
      </w:tr>
      <w:tr>
        <w:tc>
          <w:tcPr>
            <w:tcW w:type="dxa" w:w="510"/>
          </w:tcPr>
          <w:p>
            <w:r/>
            <w:r>
              <w:rPr>
                <w:sz w:val="18"/>
              </w:rPr>
              <w:t>M17</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Nav2 sin repeticiones. El resultado de navegación corresponde a una única sesión, sin repeticiones que separen variabilidad real de puntual; tampoco se ha investigado en profundidad la causa exacta del único fallo observado.</w:t>
            </w:r>
          </w:p>
        </w:tc>
        <w:tc>
          <w:tcPr>
            <w:tcW w:type="dxa" w:w="1644"/>
          </w:tcPr>
          <w:p>
            <w:r/>
            <w:r>
              <w:rPr>
                <w:sz w:val="18"/>
              </w:rPr>
            </w:r>
          </w:p>
        </w:tc>
      </w:tr>
      <w:tr>
        <w:tc>
          <w:tcPr>
            <w:tcW w:type="dxa" w:w="510"/>
          </w:tcPr>
          <w:p>
            <w:r/>
            <w:r>
              <w:rPr>
                <w:sz w:val="18"/>
              </w:rPr>
              <w:t>M18</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Objetivo 5, primer paso validado con muestra reducida. El gesto “casa” (§7.8) integra seguimiento y navegación por primera vez: 9 de 11 vueltas a casa completadas en una única sesión (11 intentos). Los 2 fallos se debieron a la localización (AMCL, ±0,5 m) situando al robot junto a un obstáculo del mapa, sin margen para que el planificador trazara ruta — no a un fallo del gesto ni de la máquina de estados. El guiado a varios destinos, alcance completo del objetivo, queda como trabajo futuro (§7.10).</w:t>
            </w:r>
          </w:p>
        </w:tc>
        <w:tc>
          <w:tcPr>
            <w:tcW w:type="dxa" w:w="1644"/>
          </w:tcPr>
          <w:p>
            <w:r/>
            <w:r>
              <w:rPr>
                <w:sz w:val="18"/>
              </w:rPr>
            </w:r>
          </w:p>
        </w:tc>
      </w:tr>
      <w:tr>
        <w:tc>
          <w:tcPr>
            <w:tcW w:type="dxa" w:w="510"/>
          </w:tcPr>
          <w:p>
            <w:r/>
            <w:r>
              <w:rPr>
                <w:sz w:val="18"/>
              </w:rPr>
              <w:t>M19</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Recursos de cómputo compartidos. El NUC embarcado ejecuta a la vez LiDAR, cámara/MediaPipe, seguimiento, SLAM/Nav2 y la interfaz de diagnóstico; en fases tempranas del desarrollo esto provocó desconexiones y bloqueos de puerto que obligaron a optimizar agresivamente el código (puertos duplicados, tasas de publicación, simplificación del pipeline de detección — Capítulo 4). Con todos los nodos y Nav2 activos a la vez, la carga final medida es de ~30 % por núcleo (4 núcleos), sin saturación; no se ha aislado si algún pico de carga puntual contribuyó a los 2 fallos de localización descritos arriba.</w:t>
            </w:r>
          </w:p>
        </w:tc>
        <w:tc>
          <w:tcPr>
            <w:tcW w:type="dxa" w:w="1644"/>
          </w:tcPr>
          <w:p>
            <w:r/>
            <w:r>
              <w:rPr>
                <w:sz w:val="18"/>
              </w:rPr>
            </w:r>
          </w:p>
        </w:tc>
      </w:tr>
      <w:tr>
        <w:tc>
          <w:tcPr>
            <w:tcW w:type="dxa" w:w="510"/>
          </w:tcPr>
          <w:p>
            <w:r/>
            <w:r>
              <w:rPr>
                <w:sz w:val="18"/>
              </w:rPr>
              <w:t>M20</w:t>
            </w:r>
          </w:p>
        </w:tc>
        <w:tc>
          <w:tcPr>
            <w:tcW w:type="dxa" w:w="1474"/>
          </w:tcPr>
          <w:p>
            <w:r/>
            <w:r>
              <w:rPr>
                <w:sz w:val="18"/>
              </w:rPr>
              <w:t>Cap. 7 — Resultados y evaluación</w:t>
            </w:r>
          </w:p>
        </w:tc>
        <w:tc>
          <w:tcPr>
            <w:tcW w:type="dxa" w:w="1701"/>
          </w:tcPr>
          <w:p>
            <w:r/>
            <w:r>
              <w:rPr>
                <w:sz w:val="18"/>
              </w:rPr>
              <w:t>7.10 Trabajo futuro</w:t>
            </w:r>
          </w:p>
        </w:tc>
        <w:tc>
          <w:tcPr>
            <w:tcW w:type="dxa" w:w="4309"/>
          </w:tcPr>
          <w:p>
            <w:r/>
            <w:r>
              <w:rPr>
                <w:sz w:val="18"/>
              </w:rPr>
              <w:t>Quedan como líneas de trabajo futuro, fuera del alcance de este TFM: ampliar el guiado a varios destinos (un gesto o un código QR por destino, objetivo 5 completo); una maniobra de despegue previa cuando la localización sitúa al robot junto a un obstáculo antes de pedir ruta a Nav2; repetir los escenarios de parada y oclusión con más muestras; y evaluar el sistema con más personas, entornos e iluminación distintos.</w:t>
            </w:r>
          </w:p>
        </w:tc>
        <w:tc>
          <w:tcPr>
            <w:tcW w:type="dxa" w:w="1644"/>
          </w:tcPr>
          <w:p>
            <w:r/>
            <w:r>
              <w:rPr>
                <w:sz w:val="18"/>
              </w:rPr>
            </w:r>
          </w:p>
        </w:tc>
      </w:tr>
    </w:tbl>
    <w:p>
      <w:pPr>
        <w:spacing w:after="80"/>
      </w:pPr>
      <w:r>
        <w:rPr>
          <w:i/>
          <w:sz w:val="21"/>
        </w:rPr>
        <w:t>C2. Frases con dos o más incisos entre guiones largos (prioridad alta)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Frase actual</w:t>
            </w:r>
          </w:p>
        </w:tc>
        <w:tc>
          <w:tcPr>
            <w:tcW w:type="dxa" w:w="1644"/>
            <w:shd w:val="clear" w:color="auto" w:fill="E3EEEC"/>
          </w:tcPr>
          <w:p>
            <w:r/>
            <w:r>
              <w:rPr>
                <w:b/>
                <w:sz w:val="19"/>
              </w:rPr>
              <w:t>Tu versión</w:t>
            </w:r>
          </w:p>
        </w:tc>
      </w:tr>
      <w:tr>
        <w:tc>
          <w:tcPr>
            <w:tcW w:type="dxa" w:w="510"/>
          </w:tcPr>
          <w:p>
            <w:r/>
            <w:r>
              <w:rPr>
                <w:sz w:val="18"/>
              </w:rPr>
              <w:t>G1</w:t>
            </w:r>
          </w:p>
        </w:tc>
        <w:tc>
          <w:tcPr>
            <w:tcW w:type="dxa" w:w="1474"/>
          </w:tcPr>
          <w:p>
            <w:r/>
            <w:r>
              <w:rPr>
                <w:sz w:val="18"/>
              </w:rPr>
              <w:t>Cap. 3 — Uso de herramientas de intelig</w:t>
            </w:r>
          </w:p>
        </w:tc>
        <w:tc>
          <w:tcPr>
            <w:tcW w:type="dxa" w:w="1701"/>
          </w:tcPr>
          <w:p>
            <w:r/>
            <w:r>
              <w:rPr>
                <w:sz w:val="18"/>
              </w:rPr>
              <w:t>3.2 Herramientas utilizadas</w:t>
            </w:r>
          </w:p>
        </w:tc>
        <w:tc>
          <w:tcPr>
            <w:tcW w:type="dxa" w:w="4309"/>
          </w:tcPr>
          <w:p>
            <w:r/>
            <w:r>
              <w:rPr>
                <w:sz w:val="18"/>
              </w:rPr>
              <w:t>El asistente no tomó decisiones de diseño —arquitectura, algoritmos o parámetros—, no realizó pruebas experimentales ni interpretó resultados, y no redactó el estado del arte ni las conclusiones del TFM.</w:t>
            </w:r>
          </w:p>
        </w:tc>
        <w:tc>
          <w:tcPr>
            <w:tcW w:type="dxa" w:w="1644"/>
          </w:tcPr>
          <w:p>
            <w:r/>
            <w:r>
              <w:rPr>
                <w:sz w:val="18"/>
              </w:rPr>
            </w:r>
          </w:p>
        </w:tc>
      </w:tr>
      <w:tr>
        <w:tc>
          <w:tcPr>
            <w:tcW w:type="dxa" w:w="510"/>
          </w:tcPr>
          <w:p>
            <w:r/>
            <w:r>
              <w:rPr>
                <w:sz w:val="18"/>
              </w:rPr>
              <w:t>G2</w:t>
            </w:r>
          </w:p>
        </w:tc>
        <w:tc>
          <w:tcPr>
            <w:tcW w:type="dxa" w:w="1474"/>
          </w:tcPr>
          <w:p>
            <w:r/>
            <w:r>
              <w:rPr>
                <w:sz w:val="18"/>
              </w:rPr>
              <w:t>Cap. 5 — Estado del arte</w:t>
            </w:r>
          </w:p>
        </w:tc>
        <w:tc>
          <w:tcPr>
            <w:tcW w:type="dxa" w:w="1701"/>
          </w:tcPr>
          <w:p>
            <w:r/>
            <w:r>
              <w:rPr>
                <w:sz w:val="18"/>
              </w:rPr>
              <w:t>5.1 Introducción y alcance del capítulo</w:t>
            </w:r>
          </w:p>
        </w:tc>
        <w:tc>
          <w:tcPr>
            <w:tcW w:type="dxa" w:w="4309"/>
          </w:tcPr>
          <w:p>
            <w:r/>
            <w:r>
              <w:rPr>
                <w:sz w:val="18"/>
              </w:rP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tc>
        <w:tc>
          <w:tcPr>
            <w:tcW w:type="dxa" w:w="1644"/>
          </w:tcPr>
          <w:p>
            <w:r/>
            <w:r>
              <w:rPr>
                <w:sz w:val="18"/>
              </w:rPr>
            </w:r>
          </w:p>
        </w:tc>
      </w:tr>
      <w:tr>
        <w:tc>
          <w:tcPr>
            <w:tcW w:type="dxa" w:w="510"/>
          </w:tcPr>
          <w:p>
            <w:r/>
            <w:r>
              <w:rPr>
                <w:sz w:val="18"/>
              </w:rPr>
              <w:t>G3</w:t>
            </w:r>
          </w:p>
        </w:tc>
        <w:tc>
          <w:tcPr>
            <w:tcW w:type="dxa" w:w="1474"/>
          </w:tcPr>
          <w:p>
            <w:r/>
            <w:r>
              <w:rPr>
                <w:sz w:val="18"/>
              </w:rPr>
              <w:t>Cap. 5 — Estado del arte</w:t>
            </w:r>
          </w:p>
        </w:tc>
        <w:tc>
          <w:tcPr>
            <w:tcW w:type="dxa" w:w="1701"/>
          </w:tcPr>
          <w:p>
            <w:r/>
            <w:r>
              <w:rPr>
                <w:sz w:val="18"/>
              </w:rPr>
              <w:t>5.2 Sistemas de seguimiento de personas con robots móviles</w:t>
            </w:r>
          </w:p>
        </w:tc>
        <w:tc>
          <w:tcPr>
            <w:tcW w:type="dxa" w:w="4309"/>
          </w:tcPr>
          <w:p>
            <w:r/>
            <w:r>
              <w:rPr>
                <w:sz w:val="18"/>
              </w:rPr>
              <w:t>Los robots de esta familia suelen operar sobre bases diferenciales de interior —como el TurtleBot 2/Kobuki de este TFM—, donde la percepción domina sobre la cinemática; en bases Ackermann exteriores (Li et al., 2025) la maniobrabilidad limitada añade restricciones que no aplican aquí.</w:t>
            </w:r>
          </w:p>
        </w:tc>
        <w:tc>
          <w:tcPr>
            <w:tcW w:type="dxa" w:w="1644"/>
          </w:tcPr>
          <w:p>
            <w:r/>
            <w:r>
              <w:rPr>
                <w:sz w:val="18"/>
              </w:rPr>
            </w:r>
          </w:p>
        </w:tc>
      </w:tr>
      <w:tr>
        <w:tc>
          <w:tcPr>
            <w:tcW w:type="dxa" w:w="510"/>
          </w:tcPr>
          <w:p>
            <w:r/>
            <w:r>
              <w:rPr>
                <w:sz w:val="18"/>
              </w:rPr>
              <w:t>G4</w:t>
            </w:r>
          </w:p>
        </w:tc>
        <w:tc>
          <w:tcPr>
            <w:tcW w:type="dxa" w:w="1474"/>
          </w:tcPr>
          <w:p>
            <w:r/>
            <w:r>
              <w:rPr>
                <w:sz w:val="18"/>
              </w:rPr>
              <w:t>Cap. 5 — Estado del arte</w:t>
            </w:r>
          </w:p>
        </w:tc>
        <w:tc>
          <w:tcPr>
            <w:tcW w:type="dxa" w:w="1701"/>
          </w:tcPr>
          <w:p>
            <w:r/>
            <w:r>
              <w:rPr>
                <w:sz w:val="18"/>
              </w:rPr>
              <w:t>5.4 Estimación de pose humana por visión</w:t>
            </w:r>
          </w:p>
        </w:tc>
        <w:tc>
          <w:tcPr>
            <w:tcW w:type="dxa" w:w="4309"/>
          </w:tcPr>
          <w:p>
            <w:r/>
            <w:r>
              <w:rPr>
                <w:sz w:val="18"/>
              </w:rPr>
              <w:t>Frente a HOG, empleado en la versión original, los modelos por landmarks tienen dos ventajas: no requieren el cuerpo completo encuadrado —inviable a ~1 m—, y dan puntos anatómicos (muñeca, hombro) directamente usables para gestos y orientación, no una simple caja delimitadora.</w:t>
            </w:r>
          </w:p>
        </w:tc>
        <w:tc>
          <w:tcPr>
            <w:tcW w:type="dxa" w:w="1644"/>
          </w:tcPr>
          <w:p>
            <w:r/>
            <w:r>
              <w:rPr>
                <w:sz w:val="18"/>
              </w:rPr>
            </w:r>
          </w:p>
        </w:tc>
      </w:tr>
      <w:tr>
        <w:tc>
          <w:tcPr>
            <w:tcW w:type="dxa" w:w="510"/>
          </w:tcPr>
          <w:p>
            <w:r/>
            <w:r>
              <w:rPr>
                <w:sz w:val="18"/>
              </w:rPr>
              <w:t>G5</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Los enfoques van desde visión-LiDAR 360° (Li et al., 2025) hasta fusión profunda —el transformador de Minase y Tanaka (2026) para LiDAR e imagen térmica—, y confirman que la fusión mejora la robustez frente a una sola modalidad.</w:t>
            </w:r>
          </w:p>
        </w:tc>
        <w:tc>
          <w:tcPr>
            <w:tcW w:type="dxa" w:w="1644"/>
          </w:tcPr>
          <w:p>
            <w:r/>
            <w:r>
              <w:rPr>
                <w:sz w:val="18"/>
              </w:rPr>
            </w:r>
          </w:p>
        </w:tc>
      </w:tr>
      <w:tr>
        <w:tc>
          <w:tcPr>
            <w:tcW w:type="dxa" w:w="510"/>
          </w:tcPr>
          <w:p>
            <w:r/>
            <w:r>
              <w:rPr>
                <w:sz w:val="18"/>
              </w:rPr>
              <w:t>G6</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Esta asimetría es deliberada: evita depender de una calibración extrínseca precisa cámara-LiDAR —solo el campo de visión horizontal y un signo de calibración— a cambio de no aprovechar la cámara cuando el LiDAR sí detecta piernas.</w:t>
            </w:r>
          </w:p>
        </w:tc>
        <w:tc>
          <w:tcPr>
            <w:tcW w:type="dxa" w:w="1644"/>
          </w:tcPr>
          <w:p>
            <w:r/>
            <w:r>
              <w:rPr>
                <w:sz w:val="18"/>
              </w:rPr>
            </w:r>
          </w:p>
        </w:tc>
      </w:tr>
      <w:tr>
        <w:tc>
          <w:tcPr>
            <w:tcW w:type="dxa" w:w="510"/>
          </w:tcPr>
          <w:p>
            <w:r/>
            <w:r>
              <w:rPr>
                <w:sz w:val="18"/>
              </w:rPr>
              <w:t>G7</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La pérdida simultánea en los giros —ambas modalidades comparten el mismo punto ciego frontal— es una limitación conocida y sigue abierta.</w:t>
            </w:r>
          </w:p>
        </w:tc>
        <w:tc>
          <w:tcPr>
            <w:tcW w:type="dxa" w:w="1644"/>
          </w:tcPr>
          <w:p>
            <w:r/>
            <w:r>
              <w:rPr>
                <w:sz w:val="18"/>
              </w:rPr>
            </w:r>
          </w:p>
        </w:tc>
      </w:tr>
      <w:tr>
        <w:tc>
          <w:tcPr>
            <w:tcW w:type="dxa" w:w="510"/>
          </w:tcPr>
          <w:p>
            <w:r/>
            <w:r>
              <w:rPr>
                <w:sz w:val="18"/>
              </w:rPr>
              <w:t>G8</w:t>
            </w:r>
          </w:p>
        </w:tc>
        <w:tc>
          <w:tcPr>
            <w:tcW w:type="dxa" w:w="1474"/>
          </w:tcPr>
          <w:p>
            <w:r/>
            <w:r>
              <w:rPr>
                <w:sz w:val="18"/>
              </w:rPr>
              <w:t>Cap. 5 — Estado del arte</w:t>
            </w:r>
          </w:p>
        </w:tc>
        <w:tc>
          <w:tcPr>
            <w:tcW w:type="dxa" w:w="1701"/>
          </w:tcPr>
          <w:p>
            <w:r/>
            <w:r>
              <w:rPr>
                <w:sz w:val="18"/>
              </w:rPr>
              <w:t>5.6 Interacción humano-robot basada en gestos</w:t>
            </w:r>
          </w:p>
        </w:tc>
        <w:tc>
          <w:tcPr>
            <w:tcW w:type="dxa" w:w="4309"/>
          </w:tcPr>
          <w:p>
            <w:r/>
            <w:r>
              <w:rPr>
                <w:sz w:val="18"/>
              </w:rPr>
              <w:t>El sistema sigue ese enfoque basado en reglas: dos gestos discretos —mano derecha para iniciar, izquierda para detener—, definidos como condiciones geométricas sobre landmarks de MediaPipe Pose, con confirmación por fotogramas y espera entre comandos (§2.3.2).</w:t>
            </w:r>
          </w:p>
        </w:tc>
        <w:tc>
          <w:tcPr>
            <w:tcW w:type="dxa" w:w="1644"/>
          </w:tcPr>
          <w:p>
            <w:r/>
            <w:r>
              <w:rPr>
                <w:sz w:val="18"/>
              </w:rPr>
            </w:r>
          </w:p>
        </w:tc>
      </w:tr>
      <w:tr>
        <w:tc>
          <w:tcPr>
            <w:tcW w:type="dxa" w:w="510"/>
          </w:tcPr>
          <w:p>
            <w:r/>
            <w:r>
              <w:rPr>
                <w:sz w:val="18"/>
              </w:rPr>
              <w:t>G9</w:t>
            </w:r>
          </w:p>
        </w:tc>
        <w:tc>
          <w:tcPr>
            <w:tcW w:type="dxa" w:w="1474"/>
          </w:tcPr>
          <w:p>
            <w:r/>
            <w:r>
              <w:rPr>
                <w:sz w:val="18"/>
              </w:rPr>
              <w:t>Cap. 5 — Estado del arte</w:t>
            </w:r>
          </w:p>
        </w:tc>
        <w:tc>
          <w:tcPr>
            <w:tcW w:type="dxa" w:w="1701"/>
          </w:tcPr>
          <w:p>
            <w:r/>
            <w:r>
              <w:rPr>
                <w:sz w:val="18"/>
              </w:rPr>
              <w:t>5.7 Seguimiento de estado: filtros bayesianos</w:t>
            </w:r>
          </w:p>
        </w:tc>
        <w:tc>
          <w:tcPr>
            <w:tcW w:type="dxa" w:w="4309"/>
          </w:tcPr>
          <w:p>
            <w:r/>
            <w:r>
              <w:rPr>
                <w:sz w:val="18"/>
              </w:rPr>
              <w:t>La familia de filtros de Bayes —Kalman, EKF, UKF, partículas— es el enfoque estándar en seguimiento de personas desde hace más de dos décadas (Urrea y Agramonte, 2021).</w:t>
            </w:r>
          </w:p>
        </w:tc>
        <w:tc>
          <w:tcPr>
            <w:tcW w:type="dxa" w:w="1644"/>
          </w:tcPr>
          <w:p>
            <w:r/>
            <w:r>
              <w:rPr>
                <w:sz w:val="18"/>
              </w:rPr>
            </w:r>
          </w:p>
        </w:tc>
      </w:tr>
      <w:tr>
        <w:tc>
          <w:tcPr>
            <w:tcW w:type="dxa" w:w="510"/>
          </w:tcPr>
          <w:p>
            <w:r/>
            <w:r>
              <w:rPr>
                <w:sz w:val="18"/>
              </w:rPr>
              <w:t>G10</w:t>
            </w:r>
          </w:p>
        </w:tc>
        <w:tc>
          <w:tcPr>
            <w:tcW w:type="dxa" w:w="1474"/>
          </w:tcPr>
          <w:p>
            <w:r/>
            <w:r>
              <w:rPr>
                <w:sz w:val="18"/>
              </w:rPr>
              <w:t>Cap. 5 — Estado del arte</w:t>
            </w:r>
          </w:p>
        </w:tc>
        <w:tc>
          <w:tcPr>
            <w:tcW w:type="dxa" w:w="1701"/>
          </w:tcPr>
          <w:p>
            <w:r/>
            <w:r>
              <w:rPr>
                <w:sz w:val="18"/>
              </w:rPr>
              <w:t>5.8 Evitación de obstáculos y control de movimiento</w:t>
            </w:r>
          </w:p>
        </w:tc>
        <w:tc>
          <w:tcPr>
            <w:tcW w:type="dxa" w:w="4309"/>
          </w:tcPr>
          <w:p>
            <w:r/>
            <w:r>
              <w:rPr>
                <w:sz w:val="18"/>
              </w:rPr>
              <w:t>El nodo de seguimiento implementa una evitación inspirada en la misma idea —repulsión angular y reducción de velocidad ante obstáculos cercanos (§2.3.3)—, simplificada frente al DWA completo: no simula trayectorias, aplica una regla reactiva sobre el sector frontal.</w:t>
            </w:r>
          </w:p>
        </w:tc>
        <w:tc>
          <w:tcPr>
            <w:tcW w:type="dxa" w:w="1644"/>
          </w:tcPr>
          <w:p>
            <w:r/>
            <w:r>
              <w:rPr>
                <w:sz w:val="18"/>
              </w:rPr>
            </w:r>
          </w:p>
        </w:tc>
      </w:tr>
      <w:tr>
        <w:tc>
          <w:tcPr>
            <w:tcW w:type="dxa" w:w="510"/>
          </w:tcPr>
          <w:p>
            <w:r/>
            <w:r>
              <w:rPr>
                <w:sz w:val="18"/>
              </w:rPr>
              <w:t>G11</w:t>
            </w:r>
          </w:p>
        </w:tc>
        <w:tc>
          <w:tcPr>
            <w:tcW w:type="dxa" w:w="1474"/>
          </w:tcPr>
          <w:p>
            <w:r/>
            <w:r>
              <w:rPr>
                <w:sz w:val="18"/>
              </w:rPr>
              <w:t>Cap. 5 — Estado del arte</w:t>
            </w:r>
          </w:p>
        </w:tc>
        <w:tc>
          <w:tcPr>
            <w:tcW w:type="dxa" w:w="1701"/>
          </w:tcPr>
          <w:p>
            <w:r/>
            <w:r>
              <w:rPr>
                <w:sz w:val="18"/>
              </w:rPr>
              <w:t>5.9 Cartografía y navegación autónoma (SLAM y Nav2)</w:t>
            </w:r>
          </w:p>
        </w:tc>
        <w:tc>
          <w:tcPr>
            <w:tcW w:type="dxa" w:w="4309"/>
          </w:tcPr>
          <w:p>
            <w:r/>
            <w:r>
              <w:rPr>
                <w:sz w:val="18"/>
              </w:rPr>
              <w:t>El alcance de este TFM es una demostración mínima —AMCL sobre mapa guardado y navegación a un objetivo—, acotada frente a las capacidades completas de Nav2 por el número limitado de sesiones (§1.4).</w:t>
            </w:r>
          </w:p>
        </w:tc>
        <w:tc>
          <w:tcPr>
            <w:tcW w:type="dxa" w:w="1644"/>
          </w:tcPr>
          <w:p>
            <w:r/>
            <w:r>
              <w:rPr>
                <w:sz w:val="18"/>
              </w:rPr>
            </w:r>
          </w:p>
        </w:tc>
      </w:tr>
      <w:tr>
        <w:tc>
          <w:tcPr>
            <w:tcW w:type="dxa" w:w="510"/>
          </w:tcPr>
          <w:p>
            <w:r/>
            <w:r>
              <w:rPr>
                <w:sz w:val="18"/>
              </w:rPr>
              <w:t>G12</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El sistema no introduce ningún método individualmente novedoso: cada subsistema —detección por clustering, MediaPipe Pose, fusión tardía LiDAR-cámara, Kalman lineal, evitación reactiva, SLAM Toolbox, Nav2— reutiliza técnicas establecidas.</w:t>
            </w:r>
          </w:p>
        </w:tc>
        <w:tc>
          <w:tcPr>
            <w:tcW w:type="dxa" w:w="1644"/>
          </w:tcPr>
          <w:p>
            <w:r/>
            <w:r>
              <w:rPr>
                <w:sz w:val="18"/>
              </w:rPr>
            </w:r>
          </w:p>
        </w:tc>
      </w:tr>
      <w:tr>
        <w:tc>
          <w:tcPr>
            <w:tcW w:type="dxa" w:w="510"/>
          </w:tcPr>
          <w:p>
            <w:r/>
            <w:r>
              <w:rPr>
                <w:sz w:val="18"/>
              </w:rPr>
              <w:t>G13</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r>
              <w:rPr>
                <w:sz w:val="18"/>
              </w:rPr>
            </w:r>
          </w:p>
        </w:tc>
      </w:tr>
      <w:tr>
        <w:tc>
          <w:tcPr>
            <w:tcW w:type="dxa" w:w="510"/>
          </w:tcPr>
          <w:p>
            <w:r/>
            <w:r>
              <w:rPr>
                <w:sz w:val="18"/>
              </w:rPr>
              <w:t>G14</w:t>
            </w:r>
          </w:p>
        </w:tc>
        <w:tc>
          <w:tcPr>
            <w:tcW w:type="dxa" w:w="1474"/>
          </w:tcPr>
          <w:p>
            <w:r/>
            <w:r>
              <w:rPr>
                <w:sz w:val="18"/>
              </w:rPr>
              <w:t>Cap. 6 — Implementación</w:t>
            </w:r>
          </w:p>
        </w:tc>
        <w:tc>
          <w:tcPr>
            <w:tcW w:type="dxa" w:w="1701"/>
          </w:tcPr>
          <w:p>
            <w:r/>
            <w:r>
              <w:rPr>
                <w:sz w:val="18"/>
              </w:rPr>
              <w:t>6.1 Introducción y alcance</w:t>
            </w:r>
          </w:p>
        </w:tc>
        <w:tc>
          <w:tcPr>
            <w:tcW w:type="dxa" w:w="4309"/>
          </w:tcPr>
          <w:p>
            <w:r/>
            <w:r>
              <w:rPr>
                <w:sz w:val="18"/>
              </w:rPr>
              <w:t>Este capítulo documenta cómo está implementado cada nodo activo —algoritmos, estructuras de datos, fórmulas de control y decisiones de código— a partir del código fuente real.</w:t>
            </w:r>
          </w:p>
        </w:tc>
        <w:tc>
          <w:tcPr>
            <w:tcW w:type="dxa" w:w="1644"/>
          </w:tcPr>
          <w:p>
            <w:r/>
            <w:r>
              <w:rPr>
                <w:sz w:val="18"/>
              </w:rPr>
            </w:r>
          </w:p>
        </w:tc>
      </w:tr>
      <w:tr>
        <w:tc>
          <w:tcPr>
            <w:tcW w:type="dxa" w:w="510"/>
          </w:tcPr>
          <w:p>
            <w:r/>
            <w:r>
              <w:rPr>
                <w:sz w:val="18"/>
              </w:rPr>
              <w:t>G15</w:t>
            </w:r>
          </w:p>
        </w:tc>
        <w:tc>
          <w:tcPr>
            <w:tcW w:type="dxa" w:w="1474"/>
          </w:tcPr>
          <w:p>
            <w:r/>
            <w:r>
              <w:rPr>
                <w:sz w:val="18"/>
              </w:rPr>
              <w:t>Cap. 6 — Implementación</w:t>
            </w:r>
          </w:p>
        </w:tc>
        <w:tc>
          <w:tcPr>
            <w:tcW w:type="dxa" w:w="1701"/>
          </w:tcPr>
          <w:p>
            <w:r/>
            <w:r>
              <w:rPr>
                <w:sz w:val="18"/>
              </w:rPr>
              <w:t>6.3 detection_node — clustering, características de pierna y filtrado temporal</w:t>
            </w:r>
          </w:p>
        </w:tc>
        <w:tc>
          <w:tcPr>
            <w:tcW w:type="dxa" w:w="4309"/>
          </w:tcPr>
          <w:p>
            <w:r/>
            <w:r>
              <w:rPr>
                <w:sz w:val="18"/>
              </w:rPr>
              <w:t>Sigue la semántica estándar —un punto es núcleo si tiene un mínimo de vecinos en un radio—, con consulta por radio y expansión por búsqueda en anchura; el coste computacional es despreciable para los cientos de puntos de un barrido filtrado.</w:t>
            </w:r>
          </w:p>
        </w:tc>
        <w:tc>
          <w:tcPr>
            <w:tcW w:type="dxa" w:w="1644"/>
          </w:tcPr>
          <w:p>
            <w:r/>
            <w:r>
              <w:rPr>
                <w:sz w:val="18"/>
              </w:rPr>
            </w:r>
          </w:p>
        </w:tc>
      </w:tr>
      <w:tr>
        <w:tc>
          <w:tcPr>
            <w:tcW w:type="dxa" w:w="510"/>
          </w:tcPr>
          <w:p>
            <w:r/>
            <w:r>
              <w:rPr>
                <w:sz w:val="18"/>
              </w:rPr>
              <w:t>G16</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Aunque la documentación original etiquetaba este bloque como Kalman + DWA, tracking_node no implementa un DWA real —simular trayectorias en el espacio de velocidades (§5.8)—, implementación que existe en un fichero separado no registrado (§6.11).</w:t>
            </w:r>
          </w:p>
        </w:tc>
        <w:tc>
          <w:tcPr>
            <w:tcW w:type="dxa" w:w="1644"/>
          </w:tcPr>
          <w:p>
            <w:r/>
            <w:r>
              <w:rPr>
                <w:sz w:val="18"/>
              </w:rPr>
            </w:r>
          </w:p>
        </w:tc>
      </w:tr>
      <w:tr>
        <w:tc>
          <w:tcPr>
            <w:tcW w:type="dxa" w:w="510"/>
          </w:tcPr>
          <w:p>
            <w:r/>
            <w:r>
              <w:rPr>
                <w:sz w:val="18"/>
              </w:rPr>
              <w:t>G17</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La fórmula original nunca reducía la velocidad a cero —un límite inferior que era código muerto (§4.3, §7.6)—, por lo que el robot nunca frenaba del todo ante un obstáculo sostenido, causando dos contactos leves.</w:t>
            </w:r>
          </w:p>
        </w:tc>
        <w:tc>
          <w:tcPr>
            <w:tcW w:type="dxa" w:w="1644"/>
          </w:tcPr>
          <w:p>
            <w:r/>
            <w:r>
              <w:rPr>
                <w:sz w:val="18"/>
              </w:rPr>
            </w:r>
          </w:p>
        </w:tc>
      </w:tr>
    </w:tbl>
    <w:p>
      <w:pPr>
        <w:spacing w:after="80"/>
      </w:pPr>
      <w:r>
        <w:rPr>
          <w:i/>
          <w:sz w:val="21"/>
        </w:rPr>
        <w:t>C3. Frases con muletillas (“resulta”, “permite”, “relevante”, “clave”, “robusto”, “pragmático”) (prioridad media)</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94"/>
        <w:gridCol w:w="1994"/>
        <w:gridCol w:w="1994"/>
        <w:gridCol w:w="1994"/>
        <w:gridCol w:w="1994"/>
      </w:tblGrid>
      <w:tr>
        <w:tc>
          <w:tcPr>
            <w:tcW w:type="dxa" w:w="510"/>
            <w:shd w:val="clear" w:color="auto" w:fill="E3EEEC"/>
          </w:tcPr>
          <w:p>
            <w:r/>
            <w:r>
              <w:rPr>
                <w:b/>
                <w:sz w:val="19"/>
              </w:rPr>
              <w:t>ID</w:t>
            </w:r>
          </w:p>
        </w:tc>
        <w:tc>
          <w:tcPr>
            <w:tcW w:type="dxa" w:w="1474"/>
            <w:shd w:val="clear" w:color="auto" w:fill="E3EEEC"/>
          </w:tcPr>
          <w:p>
            <w:r/>
            <w:r>
              <w:rPr>
                <w:b/>
                <w:sz w:val="19"/>
              </w:rPr>
              <w:t>Capítulo</w:t>
            </w:r>
          </w:p>
        </w:tc>
        <w:tc>
          <w:tcPr>
            <w:tcW w:type="dxa" w:w="1701"/>
            <w:shd w:val="clear" w:color="auto" w:fill="E3EEEC"/>
          </w:tcPr>
          <w:p>
            <w:r/>
            <w:r>
              <w:rPr>
                <w:b/>
                <w:sz w:val="19"/>
              </w:rPr>
              <w:t>Sección</w:t>
            </w:r>
          </w:p>
        </w:tc>
        <w:tc>
          <w:tcPr>
            <w:tcW w:type="dxa" w:w="4309"/>
            <w:shd w:val="clear" w:color="auto" w:fill="E3EEEC"/>
          </w:tcPr>
          <w:p>
            <w:r/>
            <w:r>
              <w:rPr>
                <w:b/>
                <w:sz w:val="19"/>
              </w:rPr>
              <w:t>Frase actual</w:t>
            </w:r>
          </w:p>
        </w:tc>
        <w:tc>
          <w:tcPr>
            <w:tcW w:type="dxa" w:w="1644"/>
            <w:shd w:val="clear" w:color="auto" w:fill="E3EEEC"/>
          </w:tcPr>
          <w:p>
            <w:r/>
            <w:r>
              <w:rPr>
                <w:b/>
                <w:sz w:val="19"/>
              </w:rPr>
              <w:t>Tu versión</w:t>
            </w:r>
          </w:p>
        </w:tc>
      </w:tr>
      <w:tr>
        <w:tc>
          <w:tcPr>
            <w:tcW w:type="dxa" w:w="510"/>
          </w:tcPr>
          <w:p>
            <w:r/>
            <w:r>
              <w:rPr>
                <w:sz w:val="18"/>
              </w:rPr>
              <w:t>W1</w:t>
            </w:r>
          </w:p>
        </w:tc>
        <w:tc>
          <w:tcPr>
            <w:tcW w:type="dxa" w:w="1474"/>
          </w:tcPr>
          <w:p>
            <w:r/>
            <w:r>
              <w:rPr>
                <w:sz w:val="18"/>
              </w:rPr>
              <w:t>Cap. 1 — Introducción y planteamiento d</w:t>
            </w:r>
          </w:p>
        </w:tc>
        <w:tc>
          <w:tcPr>
            <w:tcW w:type="dxa" w:w="1701"/>
          </w:tcPr>
          <w:p>
            <w:r/>
            <w:r>
              <w:rPr>
                <w:sz w:val="18"/>
              </w:rPr>
              <w:t>1.5 Estructura de la memoria</w:t>
            </w:r>
          </w:p>
        </w:tc>
        <w:tc>
          <w:tcPr>
            <w:tcW w:type="dxa" w:w="4309"/>
          </w:tcPr>
          <w:p>
            <w:r/>
            <w:r>
              <w:rPr>
                <w:sz w:val="18"/>
              </w:rPr>
              <w:t>Capítulo 7 — Resultados y evaluación: análisis de los datos experimentales de la validación.</w:t>
            </w:r>
          </w:p>
        </w:tc>
        <w:tc>
          <w:tcPr>
            <w:tcW w:type="dxa" w:w="1644"/>
          </w:tcPr>
          <w:p>
            <w:r/>
            <w:r>
              <w:rPr>
                <w:sz w:val="18"/>
              </w:rPr>
            </w:r>
          </w:p>
        </w:tc>
      </w:tr>
      <w:tr>
        <w:tc>
          <w:tcPr>
            <w:tcW w:type="dxa" w:w="510"/>
          </w:tcPr>
          <w:p>
            <w:r/>
            <w:r>
              <w:rPr>
                <w:sz w:val="18"/>
              </w:rPr>
              <w:t>W2</w:t>
            </w:r>
          </w:p>
        </w:tc>
        <w:tc>
          <w:tcPr>
            <w:tcW w:type="dxa" w:w="1474"/>
          </w:tcPr>
          <w:p>
            <w:r/>
            <w:r>
              <w:rPr>
                <w:sz w:val="18"/>
              </w:rPr>
              <w:t>Cap. 2 — Arquitectura del sistema</w:t>
            </w:r>
          </w:p>
        </w:tc>
        <w:tc>
          <w:tcPr>
            <w:tcW w:type="dxa" w:w="1701"/>
          </w:tcPr>
          <w:p>
            <w:r/>
            <w:r>
              <w:rPr>
                <w:sz w:val="18"/>
              </w:rPr>
              <w:t>2.1 Visión general</w:t>
            </w:r>
          </w:p>
        </w:tc>
        <w:tc>
          <w:tcPr>
            <w:tcW w:type="dxa" w:w="4309"/>
          </w:tcPr>
          <w:p>
            <w:r/>
            <w:r>
              <w:rPr>
                <w:sz w:val="18"/>
              </w:rPr>
              <w:t>Esta arquitectura desacoplada permite activar o desactivar nodos, sustituir módulos —p.</w:t>
            </w:r>
          </w:p>
        </w:tc>
        <w:tc>
          <w:tcPr>
            <w:tcW w:type="dxa" w:w="1644"/>
          </w:tcPr>
          <w:p>
            <w:r/>
            <w:r>
              <w:rPr>
                <w:sz w:val="18"/>
              </w:rPr>
            </w:r>
          </w:p>
        </w:tc>
      </w:tr>
      <w:tr>
        <w:tc>
          <w:tcPr>
            <w:tcW w:type="dxa" w:w="510"/>
          </w:tcPr>
          <w:p>
            <w:r/>
            <w:r>
              <w:rPr>
                <w:sz w:val="18"/>
              </w:rPr>
              <w:t>W3</w:t>
            </w:r>
          </w:p>
        </w:tc>
        <w:tc>
          <w:tcPr>
            <w:tcW w:type="dxa" w:w="1474"/>
          </w:tcPr>
          <w:p>
            <w:r/>
            <w:r>
              <w:rPr>
                <w:sz w:val="18"/>
              </w:rPr>
              <w:t>Cap. 2 — Arquitectura del sistema</w:t>
            </w:r>
          </w:p>
        </w:tc>
        <w:tc>
          <w:tcPr>
            <w:tcW w:type="dxa" w:w="1701"/>
          </w:tcPr>
          <w:p>
            <w:r/>
            <w:r>
              <w:rPr>
                <w:sz w:val="18"/>
              </w:rPr>
              <w:t>2.3 Descripción de cada nodo</w:t>
            </w:r>
          </w:p>
        </w:tc>
        <w:tc>
          <w:tcPr>
            <w:tcW w:type="dxa" w:w="4309"/>
          </w:tcPr>
          <w:p>
            <w:r/>
            <w:r>
              <w:rPr>
                <w:sz w:val="18"/>
              </w:rPr>
              <w:t>Sustituida en la Fase 2 por SLAM Toolbox (mayor robustez, cierre de bucles y serialización de mapas); se mantiene desactivado por defecto.</w:t>
            </w:r>
          </w:p>
        </w:tc>
        <w:tc>
          <w:tcPr>
            <w:tcW w:type="dxa" w:w="1644"/>
          </w:tcPr>
          <w:p>
            <w:r/>
            <w:r>
              <w:rPr>
                <w:sz w:val="18"/>
              </w:rPr>
            </w:r>
          </w:p>
        </w:tc>
      </w:tr>
      <w:tr>
        <w:tc>
          <w:tcPr>
            <w:tcW w:type="dxa" w:w="510"/>
          </w:tcPr>
          <w:p>
            <w:r/>
            <w:r>
              <w:rPr>
                <w:sz w:val="18"/>
              </w:rPr>
              <w:t>W4</w:t>
            </w:r>
          </w:p>
        </w:tc>
        <w:tc>
          <w:tcPr>
            <w:tcW w:type="dxa" w:w="1474"/>
          </w:tcPr>
          <w:p>
            <w:r/>
            <w:r>
              <w:rPr>
                <w:sz w:val="18"/>
              </w:rPr>
              <w:t>Cap. 2 — Arquitectura del sistema</w:t>
            </w:r>
          </w:p>
        </w:tc>
        <w:tc>
          <w:tcPr>
            <w:tcW w:type="dxa" w:w="1701"/>
          </w:tcPr>
          <w:p>
            <w:r/>
            <w:r>
              <w:rPr>
                <w:sz w:val="18"/>
              </w:rPr>
              <w:t>2.6 Parámetros de configuración</w:t>
            </w:r>
          </w:p>
        </w:tc>
        <w:tc>
          <w:tcPr>
            <w:tcW w:type="dxa" w:w="4309"/>
          </w:tcPr>
          <w:p>
            <w:r/>
            <w:r>
              <w:rPr>
                <w:sz w:val="18"/>
              </w:rPr>
              <w:t>Todos los parámetros ajustables se centralizan en un archivo de configuración común, que permite modificar umbrales, distancias de seguridad y comportamientos sin recompilar.</w:t>
            </w:r>
          </w:p>
        </w:tc>
        <w:tc>
          <w:tcPr>
            <w:tcW w:type="dxa" w:w="1644"/>
          </w:tcPr>
          <w:p>
            <w:r/>
            <w:r>
              <w:rPr>
                <w:sz w:val="18"/>
              </w:rPr>
            </w:r>
          </w:p>
        </w:tc>
      </w:tr>
      <w:tr>
        <w:tc>
          <w:tcPr>
            <w:tcW w:type="dxa" w:w="510"/>
          </w:tcPr>
          <w:p>
            <w:r/>
            <w:r>
              <w:rPr>
                <w:sz w:val="18"/>
              </w:rPr>
              <w:t>W5</w:t>
            </w:r>
          </w:p>
        </w:tc>
        <w:tc>
          <w:tcPr>
            <w:tcW w:type="dxa" w:w="1474"/>
          </w:tcPr>
          <w:p>
            <w:r/>
            <w:r>
              <w:rPr>
                <w:sz w:val="18"/>
              </w:rPr>
              <w:t>Cap. 3 — Uso de herramientas de intelig</w:t>
            </w:r>
          </w:p>
        </w:tc>
        <w:tc>
          <w:tcPr>
            <w:tcW w:type="dxa" w:w="1701"/>
          </w:tcPr>
          <w:p>
            <w:r/>
            <w:r>
              <w:rPr>
                <w:sz w:val="18"/>
              </w:rPr>
              <w:t>3.1 Declaración de uso</w:t>
            </w:r>
          </w:p>
        </w:tc>
        <w:tc>
          <w:tcPr>
            <w:tcW w:type="dxa" w:w="4309"/>
          </w:tcPr>
          <w:p>
            <w:r/>
            <w:r>
              <w:rPr>
                <w:sz w:val="18"/>
              </w:rPr>
              <w:t>Esta declaración es coherente con las directrices de muchas universidades, que reconocen el valor de estas herramientas como instrumento de aprendizaje y productividad, siempre que el estudiante mantenga la autoría intelectual: la comprensión del problema, las decisiones de diseño, la validación experimental y la interpretación de resultados.</w:t>
            </w:r>
          </w:p>
        </w:tc>
        <w:tc>
          <w:tcPr>
            <w:tcW w:type="dxa" w:w="1644"/>
          </w:tcPr>
          <w:p>
            <w:r/>
            <w:r>
              <w:rPr>
                <w:sz w:val="18"/>
              </w:rPr>
            </w:r>
          </w:p>
        </w:tc>
      </w:tr>
      <w:tr>
        <w:tc>
          <w:tcPr>
            <w:tcW w:type="dxa" w:w="510"/>
          </w:tcPr>
          <w:p>
            <w:r/>
            <w:r>
              <w:rPr>
                <w:sz w:val="18"/>
              </w:rPr>
              <w:t>W6</w:t>
            </w:r>
          </w:p>
        </w:tc>
        <w:tc>
          <w:tcPr>
            <w:tcW w:type="dxa" w:w="1474"/>
          </w:tcPr>
          <w:p>
            <w:r/>
            <w:r>
              <w:rPr>
                <w:sz w:val="18"/>
              </w:rPr>
              <w:t>Cap. 3 — Uso de herramientas de intelig</w:t>
            </w:r>
          </w:p>
        </w:tc>
        <w:tc>
          <w:tcPr>
            <w:tcW w:type="dxa" w:w="1701"/>
          </w:tcPr>
          <w:p>
            <w:r/>
            <w:r>
              <w:rPr>
                <w:sz w:val="18"/>
              </w:rPr>
              <w:t>3.2 Herramientas utilizadas</w:t>
            </w:r>
          </w:p>
        </w:tc>
        <w:tc>
          <w:tcPr>
            <w:tcW w:type="dxa" w:w="4309"/>
          </w:tcPr>
          <w:p>
            <w:r/>
            <w:r>
              <w:rPr>
                <w:sz w:val="18"/>
              </w:rPr>
              <w:t>El asistente no tomó decisiones de diseño —arquitectura, algoritmos o parámetros—, no realizó pruebas experimentales ni interpretó resultados, y no redactó el estado del arte ni las conclusiones del TFM.</w:t>
            </w:r>
          </w:p>
        </w:tc>
        <w:tc>
          <w:tcPr>
            <w:tcW w:type="dxa" w:w="1644"/>
          </w:tcPr>
          <w:p>
            <w:r/>
            <w:r>
              <w:rPr>
                <w:sz w:val="18"/>
              </w:rPr>
            </w:r>
          </w:p>
        </w:tc>
      </w:tr>
      <w:tr>
        <w:tc>
          <w:tcPr>
            <w:tcW w:type="dxa" w:w="510"/>
          </w:tcPr>
          <w:p>
            <w:r/>
            <w:r>
              <w:rPr>
                <w:sz w:val="18"/>
              </w:rPr>
              <w:t>W7</w:t>
            </w:r>
          </w:p>
        </w:tc>
        <w:tc>
          <w:tcPr>
            <w:tcW w:type="dxa" w:w="1474"/>
          </w:tcPr>
          <w:p>
            <w:r/>
            <w:r>
              <w:rPr>
                <w:sz w:val="18"/>
              </w:rPr>
              <w:t>Cap. 5 — Estado del arte</w:t>
            </w:r>
          </w:p>
        </w:tc>
        <w:tc>
          <w:tcPr>
            <w:tcW w:type="dxa" w:w="1701"/>
          </w:tcPr>
          <w:p>
            <w:r/>
            <w:r>
              <w:rPr>
                <w:sz w:val="18"/>
              </w:rPr>
              <w:t>5.1 Introducción y alcance del capítulo</w:t>
            </w:r>
          </w:p>
        </w:tc>
        <w:tc>
          <w:tcPr>
            <w:tcW w:type="dxa" w:w="4309"/>
          </w:tcPr>
          <w:p>
            <w:r/>
            <w:r>
              <w:rPr>
                <w:sz w:val="18"/>
              </w:rPr>
              <w:t>Este capítulo sitúa las decisiones del Capítulo 2 —detección por LiDAR 2D, pose por visión, fusión sensorial, interacción gestual, filtros bayesianos, evitación de obstáculos y SLAM/Nav2— dentro del trabajo previo relevante en cada área, sin pretender una revisión exhaustiva.</w:t>
            </w:r>
          </w:p>
        </w:tc>
        <w:tc>
          <w:tcPr>
            <w:tcW w:type="dxa" w:w="1644"/>
          </w:tcPr>
          <w:p>
            <w:r/>
            <w:r>
              <w:rPr>
                <w:sz w:val="18"/>
              </w:rPr>
            </w:r>
          </w:p>
        </w:tc>
      </w:tr>
      <w:tr>
        <w:tc>
          <w:tcPr>
            <w:tcW w:type="dxa" w:w="510"/>
          </w:tcPr>
          <w:p>
            <w:r/>
            <w:r>
              <w:rPr>
                <w:sz w:val="18"/>
              </w:rPr>
              <w:t>W8</w:t>
            </w:r>
          </w:p>
        </w:tc>
        <w:tc>
          <w:tcPr>
            <w:tcW w:type="dxa" w:w="1474"/>
          </w:tcPr>
          <w:p>
            <w:r/>
            <w:r>
              <w:rPr>
                <w:sz w:val="18"/>
              </w:rPr>
              <w:t>Cap. 5 — Estado del arte</w:t>
            </w:r>
          </w:p>
        </w:tc>
        <w:tc>
          <w:tcPr>
            <w:tcW w:type="dxa" w:w="1701"/>
          </w:tcPr>
          <w:p>
            <w:r/>
            <w:r>
              <w:rPr>
                <w:sz w:val="18"/>
              </w:rPr>
              <w:t>5.2 Sistemas de seguimiento de personas con robots móviles</w:t>
            </w:r>
          </w:p>
        </w:tc>
        <w:tc>
          <w:tcPr>
            <w:tcW w:type="dxa" w:w="4309"/>
          </w:tcPr>
          <w:p>
            <w:r/>
            <w:r>
              <w:rPr>
                <w:sz w:val="18"/>
              </w:rPr>
              <w:t>Robusto ante iluminación variable, pero ambiguo ante objetos de geometría similar (patas de silla, columnas).</w:t>
            </w:r>
          </w:p>
        </w:tc>
        <w:tc>
          <w:tcPr>
            <w:tcW w:type="dxa" w:w="1644"/>
          </w:tcPr>
          <w:p>
            <w:r/>
            <w:r>
              <w:rPr>
                <w:sz w:val="18"/>
              </w:rPr>
            </w:r>
          </w:p>
        </w:tc>
      </w:tr>
      <w:tr>
        <w:tc>
          <w:tcPr>
            <w:tcW w:type="dxa" w:w="510"/>
          </w:tcPr>
          <w:p>
            <w:r/>
            <w:r>
              <w:rPr>
                <w:sz w:val="18"/>
              </w:rPr>
              <w:t>W9</w:t>
            </w:r>
          </w:p>
        </w:tc>
        <w:tc>
          <w:tcPr>
            <w:tcW w:type="dxa" w:w="1474"/>
          </w:tcPr>
          <w:p>
            <w:r/>
            <w:r>
              <w:rPr>
                <w:sz w:val="18"/>
              </w:rPr>
              <w:t>Cap. 5 — Estado del arte</w:t>
            </w:r>
          </w:p>
        </w:tc>
        <w:tc>
          <w:tcPr>
            <w:tcW w:type="dxa" w:w="1701"/>
          </w:tcPr>
          <w:p>
            <w:r/>
            <w:r>
              <w:rPr>
                <w:sz w:val="18"/>
              </w:rPr>
              <w:t>5.4 Estimación de pose humana por visión</w:t>
            </w:r>
          </w:p>
        </w:tc>
        <w:tc>
          <w:tcPr>
            <w:tcW w:type="dxa" w:w="4309"/>
          </w:tcPr>
          <w:p>
            <w:r/>
            <w:r>
              <w:rPr>
                <w:sz w:val="18"/>
              </w:rPr>
              <w:t>BlazePose (Bazarevsky et al., 2020) es una red convolucional ligera que produce 33 puntos clave del cuerpo a &gt;30 fps sin GPU dedicada, y es la base de MediaPipe Pose usado en este proyecto.</w:t>
            </w:r>
          </w:p>
        </w:tc>
        <w:tc>
          <w:tcPr>
            <w:tcW w:type="dxa" w:w="1644"/>
          </w:tcPr>
          <w:p>
            <w:r/>
            <w:r>
              <w:rPr>
                <w:sz w:val="18"/>
              </w:rPr>
            </w:r>
          </w:p>
        </w:tc>
      </w:tr>
      <w:tr>
        <w:tc>
          <w:tcPr>
            <w:tcW w:type="dxa" w:w="510"/>
          </w:tcPr>
          <w:p>
            <w:r/>
            <w:r>
              <w:rPr>
                <w:sz w:val="18"/>
              </w:rPr>
              <w:t>W10</w:t>
            </w:r>
          </w:p>
        </w:tc>
        <w:tc>
          <w:tcPr>
            <w:tcW w:type="dxa" w:w="1474"/>
          </w:tcPr>
          <w:p>
            <w:r/>
            <w:r>
              <w:rPr>
                <w:sz w:val="18"/>
              </w:rPr>
              <w:t>Cap. 5 — Estado del arte</w:t>
            </w:r>
          </w:p>
        </w:tc>
        <w:tc>
          <w:tcPr>
            <w:tcW w:type="dxa" w:w="1701"/>
          </w:tcPr>
          <w:p>
            <w:r/>
            <w:r>
              <w:rPr>
                <w:sz w:val="18"/>
              </w:rPr>
              <w:t>5.5 Fusión sensorial LiDAR-cámara para detección robusta</w:t>
            </w:r>
          </w:p>
        </w:tc>
        <w:tc>
          <w:tcPr>
            <w:tcW w:type="dxa" w:w="4309"/>
          </w:tcPr>
          <w:p>
            <w:r/>
            <w:r>
              <w:rPr>
                <w:sz w:val="18"/>
              </w:rPr>
              <w:t>Los enfoques van desde visión-LiDAR 360° (Li et al., 2025) hasta fusión profunda —el transformador de Minase y Tanaka (2026) para LiDAR e imagen térmica—, y confirman que la fusión mejora la robustez frente a una sola modalidad.</w:t>
            </w:r>
          </w:p>
        </w:tc>
        <w:tc>
          <w:tcPr>
            <w:tcW w:type="dxa" w:w="1644"/>
          </w:tcPr>
          <w:p>
            <w:r/>
            <w:r>
              <w:rPr>
                <w:sz w:val="18"/>
              </w:rPr>
            </w:r>
          </w:p>
        </w:tc>
      </w:tr>
      <w:tr>
        <w:tc>
          <w:tcPr>
            <w:tcW w:type="dxa" w:w="510"/>
          </w:tcPr>
          <w:p>
            <w:r/>
            <w:r>
              <w:rPr>
                <w:sz w:val="18"/>
              </w:rPr>
              <w:t>W11</w:t>
            </w:r>
          </w:p>
        </w:tc>
        <w:tc>
          <w:tcPr>
            <w:tcW w:type="dxa" w:w="1474"/>
          </w:tcPr>
          <w:p>
            <w:r/>
            <w:r>
              <w:rPr>
                <w:sz w:val="18"/>
              </w:rPr>
              <w:t>Cap. 5 — Estado del arte</w:t>
            </w:r>
          </w:p>
        </w:tc>
        <w:tc>
          <w:tcPr>
            <w:tcW w:type="dxa" w:w="1701"/>
          </w:tcPr>
          <w:p>
            <w:r/>
            <w:r>
              <w:rPr>
                <w:sz w:val="18"/>
              </w:rPr>
              <w:t>5.7 Seguimiento de estado: filtros bayesianos</w:t>
            </w:r>
          </w:p>
        </w:tc>
        <w:tc>
          <w:tcPr>
            <w:tcW w:type="dxa" w:w="4309"/>
          </w:tcPr>
          <w:p>
            <w:r/>
            <w:r>
              <w:rPr>
                <w:sz w:val="18"/>
              </w:rPr>
              <w:t>Bellotto y Hu (2010) muestran que el UKF puede igualar a un filtro de partículas con mucho menor coste — relevante para plataformas sin GPU como la de este proyecto.</w:t>
            </w:r>
          </w:p>
        </w:tc>
        <w:tc>
          <w:tcPr>
            <w:tcW w:type="dxa" w:w="1644"/>
          </w:tcPr>
          <w:p>
            <w:r/>
            <w:r>
              <w:rPr>
                <w:sz w:val="18"/>
              </w:rPr>
            </w:r>
          </w:p>
        </w:tc>
      </w:tr>
      <w:tr>
        <w:tc>
          <w:tcPr>
            <w:tcW w:type="dxa" w:w="510"/>
          </w:tcPr>
          <w:p>
            <w:r/>
            <w:r>
              <w:rPr>
                <w:sz w:val="18"/>
              </w:rPr>
              <w:t>W12</w:t>
            </w:r>
          </w:p>
        </w:tc>
        <w:tc>
          <w:tcPr>
            <w:tcW w:type="dxa" w:w="1474"/>
          </w:tcPr>
          <w:p>
            <w:r/>
            <w:r>
              <w:rPr>
                <w:sz w:val="18"/>
              </w:rPr>
              <w:t>Cap. 5 — Estado del arte</w:t>
            </w:r>
          </w:p>
        </w:tc>
        <w:tc>
          <w:tcPr>
            <w:tcW w:type="dxa" w:w="1701"/>
          </w:tcPr>
          <w:p>
            <w:r/>
            <w:r>
              <w:rPr>
                <w:sz w:val="18"/>
              </w:rPr>
              <w:t>5.9 Cartografía y navegación autónoma (SLAM y Nav2)</w:t>
            </w:r>
          </w:p>
        </w:tc>
        <w:tc>
          <w:tcPr>
            <w:tcW w:type="dxa" w:w="4309"/>
          </w:tcPr>
          <w:p>
            <w:r/>
            <w:r>
              <w:rPr>
                <w:sz w:val="18"/>
              </w:rPr>
              <w:t>Sustituyó en la Fase 2 a la implementación propia de SLAM básico de la Fase 1 (§2.3.7), por mayor robustez y cierre de bucles.</w:t>
            </w:r>
          </w:p>
        </w:tc>
        <w:tc>
          <w:tcPr>
            <w:tcW w:type="dxa" w:w="1644"/>
          </w:tcPr>
          <w:p>
            <w:r/>
            <w:r>
              <w:rPr>
                <w:sz w:val="18"/>
              </w:rPr>
            </w:r>
          </w:p>
        </w:tc>
      </w:tr>
      <w:tr>
        <w:tc>
          <w:tcPr>
            <w:tcW w:type="dxa" w:w="510"/>
          </w:tcPr>
          <w:p>
            <w:r/>
            <w:r>
              <w:rPr>
                <w:sz w:val="18"/>
              </w:rPr>
              <w:t>W13</w:t>
            </w:r>
          </w:p>
        </w:tc>
        <w:tc>
          <w:tcPr>
            <w:tcW w:type="dxa" w:w="1474"/>
          </w:tcPr>
          <w:p>
            <w:r/>
            <w:r>
              <w:rPr>
                <w:sz w:val="18"/>
              </w:rPr>
              <w:t>Cap. 5 — Estado del arte</w:t>
            </w:r>
          </w:p>
        </w:tc>
        <w:tc>
          <w:tcPr>
            <w:tcW w:type="dxa" w:w="1701"/>
          </w:tcPr>
          <w:p>
            <w:r/>
            <w:r>
              <w:rPr>
                <w:sz w:val="18"/>
              </w:rPr>
              <w:t>5.10 Síntesis: posicionamiento de este TFM respecto al estado del arte</w:t>
            </w:r>
          </w:p>
        </w:tc>
        <w:tc>
          <w:tcPr>
            <w:tcW w:type="dxa" w:w="4309"/>
          </w:tcPr>
          <w:p>
            <w:r/>
            <w:r>
              <w:rPr>
                <w:sz w:val="18"/>
              </w:rPr>
              <w:t>Esta perspectiva —integración pragmática sobre recursos limitados, más que innovación algorítmica aislada— enmarca las decisiones del Capítulo 6 y los resultados del Capítulo 7, incluida la integración de seguimiento y navegación en el gesto “casa” (§7.8): la contribución no es un nuevo algoritmo de navegación, sino la arquitectura de arbitraje que permite a ambos subsistemas compartir la misma base de forma segura.</w:t>
            </w:r>
          </w:p>
        </w:tc>
        <w:tc>
          <w:tcPr>
            <w:tcW w:type="dxa" w:w="1644"/>
          </w:tcPr>
          <w:p>
            <w:r/>
            <w:r>
              <w:rPr>
                <w:sz w:val="18"/>
              </w:rPr>
            </w:r>
          </w:p>
        </w:tc>
      </w:tr>
      <w:tr>
        <w:tc>
          <w:tcPr>
            <w:tcW w:type="dxa" w:w="510"/>
          </w:tcPr>
          <w:p>
            <w:r/>
            <w:r>
              <w:rPr>
                <w:sz w:val="18"/>
              </w:rPr>
              <w:t>W14</w:t>
            </w:r>
          </w:p>
        </w:tc>
        <w:tc>
          <w:tcPr>
            <w:tcW w:type="dxa" w:w="1474"/>
          </w:tcPr>
          <w:p>
            <w:r/>
            <w:r>
              <w:rPr>
                <w:sz w:val="18"/>
              </w:rPr>
              <w:t>Cap. 5 — Estado del arte</w:t>
            </w:r>
          </w:p>
        </w:tc>
        <w:tc>
          <w:tcPr>
            <w:tcW w:type="dxa" w:w="1701"/>
          </w:tcPr>
          <w:p>
            <w:r/>
            <w:r>
              <w:rPr>
                <w:sz w:val="18"/>
              </w:rPr>
              <w:t>Referencias</w:t>
            </w:r>
          </w:p>
        </w:tc>
        <w:tc>
          <w:tcPr>
            <w:tcW w:type="dxa" w:w="4309"/>
          </w:tcPr>
          <w:p>
            <w:r/>
            <w:r>
              <w:rPr>
                <w:sz w:val="18"/>
              </w:rPr>
              <w:t>Robust Human Tracking Using a 3D LiDAR and Point Cloud Projection for Human-Following Robots.</w:t>
            </w:r>
          </w:p>
        </w:tc>
        <w:tc>
          <w:tcPr>
            <w:tcW w:type="dxa" w:w="1644"/>
          </w:tcPr>
          <w:p>
            <w:r/>
            <w:r>
              <w:rPr>
                <w:sz w:val="18"/>
              </w:rPr>
            </w:r>
          </w:p>
        </w:tc>
      </w:tr>
      <w:tr>
        <w:tc>
          <w:tcPr>
            <w:tcW w:type="dxa" w:w="510"/>
          </w:tcPr>
          <w:p>
            <w:r/>
            <w:r>
              <w:rPr>
                <w:sz w:val="18"/>
              </w:rPr>
              <w:t>W15</w:t>
            </w:r>
          </w:p>
        </w:tc>
        <w:tc>
          <w:tcPr>
            <w:tcW w:type="dxa" w:w="1474"/>
          </w:tcPr>
          <w:p>
            <w:r/>
            <w:r>
              <w:rPr>
                <w:sz w:val="18"/>
              </w:rPr>
              <w:t>Cap. 5 — Estado del arte</w:t>
            </w:r>
          </w:p>
        </w:tc>
        <w:tc>
          <w:tcPr>
            <w:tcW w:type="dxa" w:w="1701"/>
          </w:tcPr>
          <w:p>
            <w:r/>
            <w:r>
              <w:rPr>
                <w:sz w:val="18"/>
              </w:rPr>
              <w:t>Referencias</w:t>
            </w:r>
          </w:p>
        </w:tc>
        <w:tc>
          <w:tcPr>
            <w:tcW w:type="dxa" w:w="4309"/>
          </w:tcPr>
          <w:p>
            <w:r/>
            <w:r>
              <w:rPr>
                <w:sz w:val="18"/>
              </w:rPr>
              <w:t>Macenski, S., Martín, F., White, R., y Clavero, J.</w:t>
            </w:r>
          </w:p>
        </w:tc>
        <w:tc>
          <w:tcPr>
            <w:tcW w:type="dxa" w:w="1644"/>
          </w:tcPr>
          <w:p>
            <w:r/>
            <w:r>
              <w:rPr>
                <w:sz w:val="18"/>
              </w:rPr>
            </w:r>
          </w:p>
        </w:tc>
      </w:tr>
      <w:tr>
        <w:tc>
          <w:tcPr>
            <w:tcW w:type="dxa" w:w="510"/>
          </w:tcPr>
          <w:p>
            <w:r/>
            <w:r>
              <w:rPr>
                <w:sz w:val="18"/>
              </w:rPr>
              <w:t>W16</w:t>
            </w:r>
          </w:p>
        </w:tc>
        <w:tc>
          <w:tcPr>
            <w:tcW w:type="dxa" w:w="1474"/>
          </w:tcPr>
          <w:p>
            <w:r/>
            <w:r>
              <w:rPr>
                <w:sz w:val="18"/>
              </w:rPr>
              <w:t>Cap. 6 — Implementación</w:t>
            </w:r>
          </w:p>
        </w:tc>
        <w:tc>
          <w:tcPr>
            <w:tcW w:type="dxa" w:w="1701"/>
          </w:tcPr>
          <w:p>
            <w:r/>
            <w:r>
              <w:rPr>
                <w:sz w:val="18"/>
              </w:rPr>
              <w:t>6.5 tracking_node — filtro de Kalman, control PD y evasión de obstáculos</w:t>
            </w:r>
          </w:p>
        </w:tc>
        <w:tc>
          <w:tcPr>
            <w:tcW w:type="dxa" w:w="4309"/>
          </w:tcPr>
          <w:p>
            <w:r/>
            <w:r>
              <w:rPr>
                <w:sz w:val="18"/>
              </w:rPr>
              <w:t>Es la alternativa a avanzar indefinidamente sin resolver el punto muerto; primera versión, sin validar todavía de forma sistemática (Capítulo 7).</w:t>
            </w:r>
          </w:p>
        </w:tc>
        <w:tc>
          <w:tcPr>
            <w:tcW w:type="dxa" w:w="1644"/>
          </w:tcPr>
          <w:p>
            <w:r/>
            <w:r>
              <w:rPr>
                <w:sz w:val="18"/>
              </w:rPr>
            </w:r>
          </w:p>
        </w:tc>
      </w:tr>
      <w:tr>
        <w:tc>
          <w:tcPr>
            <w:tcW w:type="dxa" w:w="510"/>
          </w:tcPr>
          <w:p>
            <w:r/>
            <w:r>
              <w:rPr>
                <w:sz w:val="18"/>
              </w:rPr>
              <w:t>W17</w:t>
            </w:r>
          </w:p>
        </w:tc>
        <w:tc>
          <w:tcPr>
            <w:tcW w:type="dxa" w:w="1474"/>
          </w:tcPr>
          <w:p>
            <w:r/>
            <w:r>
              <w:rPr>
                <w:sz w:val="18"/>
              </w:rPr>
              <w:t>Cap. 6 — Implementación</w:t>
            </w:r>
          </w:p>
        </w:tc>
        <w:tc>
          <w:tcPr>
            <w:tcW w:type="dxa" w:w="1701"/>
          </w:tcPr>
          <w:p>
            <w:r/>
            <w:r>
              <w:rPr>
                <w:sz w:val="18"/>
              </w:rPr>
              <w:t>6.11 Código no registrado en el paquete</w:t>
            </w:r>
          </w:p>
        </w:tc>
        <w:tc>
          <w:tcPr>
            <w:tcW w:type="dxa" w:w="4309"/>
          </w:tcPr>
          <w:p>
            <w:r/>
            <w:r>
              <w:rPr>
                <w:sz w:val="18"/>
              </w:rPr>
              <w:t>El caso del DWA real es relevante porque implementa lo que la documentación seguía describiendo como comportamiento de tracking_node, mientras el nodo activo usa el controlador reactivo del apartado 6.5 — una fuente real de confusión y una limpieza razonable antes de la entrega final.</w:t>
            </w:r>
          </w:p>
        </w:tc>
        <w:tc>
          <w:tcPr>
            <w:tcW w:type="dxa" w:w="1644"/>
          </w:tcPr>
          <w:p>
            <w:r/>
            <w:r>
              <w:rPr>
                <w:sz w:val="18"/>
              </w:rPr>
            </w:r>
          </w:p>
        </w:tc>
      </w:tr>
      <w:tr>
        <w:tc>
          <w:tcPr>
            <w:tcW w:type="dxa" w:w="510"/>
          </w:tcPr>
          <w:p>
            <w:r/>
            <w:r>
              <w:rPr>
                <w:sz w:val="18"/>
              </w:rPr>
              <w:t>W18</w:t>
            </w:r>
          </w:p>
        </w:tc>
        <w:tc>
          <w:tcPr>
            <w:tcW w:type="dxa" w:w="1474"/>
          </w:tcPr>
          <w:p>
            <w:r/>
            <w:r>
              <w:rPr>
                <w:sz w:val="18"/>
              </w:rPr>
              <w:t>Cap. 7 — Resultados y evaluación</w:t>
            </w:r>
          </w:p>
        </w:tc>
        <w:tc>
          <w:tcPr>
            <w:tcW w:type="dxa" w:w="1701"/>
          </w:tcPr>
          <w:p>
            <w:r/>
            <w:r>
              <w:rPr>
                <w:sz w:val="18"/>
              </w:rPr>
              <w:t>7.7 Resultado 5 — Nav2: localización y navegación autónoma (27 de julio de 2026)</w:t>
            </w:r>
          </w:p>
        </w:tc>
        <w:tc>
          <w:tcPr>
            <w:tcW w:type="dxa" w:w="4309"/>
          </w:tcPr>
          <w:p>
            <w:r/>
            <w:r>
              <w:rPr>
                <w:sz w:val="18"/>
              </w:rPr>
              <w:t>Durante la sesión se detectó que el mapa guardado no reflejaba bien el espacio real; se regrabó y validó antes de sustituirlo —todos los resultados corresponden ya al mapa nuevo.</w:t>
            </w:r>
          </w:p>
        </w:tc>
        <w:tc>
          <w:tcPr>
            <w:tcW w:type="dxa" w:w="1644"/>
          </w:tcPr>
          <w:p>
            <w:r/>
            <w:r>
              <w:rPr>
                <w:sz w:val="18"/>
              </w:rPr>
            </w:r>
          </w:p>
        </w:tc>
      </w:tr>
      <w:tr>
        <w:tc>
          <w:tcPr>
            <w:tcW w:type="dxa" w:w="510"/>
          </w:tcPr>
          <w:p>
            <w:r/>
            <w:r>
              <w:rPr>
                <w:sz w:val="18"/>
              </w:rPr>
              <w:t>W19</w:t>
            </w:r>
          </w:p>
        </w:tc>
        <w:tc>
          <w:tcPr>
            <w:tcW w:type="dxa" w:w="1474"/>
          </w:tcPr>
          <w:p>
            <w:r/>
            <w:r>
              <w:rPr>
                <w:sz w:val="18"/>
              </w:rPr>
              <w:t>Cap. 7 — Resultados y evaluación</w:t>
            </w:r>
          </w:p>
        </w:tc>
        <w:tc>
          <w:tcPr>
            <w:tcW w:type="dxa" w:w="1701"/>
          </w:tcPr>
          <w:p>
            <w:r/>
            <w:r>
              <w:rPr>
                <w:sz w:val="18"/>
              </w:rPr>
              <w:t>7.8 Resultado 6 — Gesto “casa”: integración de seguimiento y navegación (23 de septiembre de 2026)</w:t>
            </w:r>
          </w:p>
        </w:tc>
        <w:tc>
          <w:tcPr>
            <w:tcW w:type="dxa" w:w="4309"/>
          </w:tcPr>
          <w:p>
            <w:r/>
            <w:r>
              <w:rPr>
                <w:sz w:val="18"/>
              </w:rPr>
              <w:t>Es un primer resultado, con una muestra de 11 intentos en una única sesión (véase §7.9).</w:t>
            </w:r>
          </w:p>
        </w:tc>
        <w:tc>
          <w:tcPr>
            <w:tcW w:type="dxa" w:w="1644"/>
          </w:tcPr>
          <w:p>
            <w:r/>
            <w:r>
              <w:rPr>
                <w:sz w:val="18"/>
              </w:rPr>
            </w:r>
          </w:p>
        </w:tc>
      </w:tr>
      <w:tr>
        <w:tc>
          <w:tcPr>
            <w:tcW w:type="dxa" w:w="510"/>
          </w:tcPr>
          <w:p>
            <w:r/>
            <w:r>
              <w:rPr>
                <w:sz w:val="18"/>
              </w:rPr>
              <w:t>W20</w:t>
            </w:r>
          </w:p>
        </w:tc>
        <w:tc>
          <w:tcPr>
            <w:tcW w:type="dxa" w:w="1474"/>
          </w:tcPr>
          <w:p>
            <w:r/>
            <w:r>
              <w:rPr>
                <w:sz w:val="18"/>
              </w:rPr>
              <w:t>Cap. 7 — Resultados y evaluación</w:t>
            </w:r>
          </w:p>
        </w:tc>
        <w:tc>
          <w:tcPr>
            <w:tcW w:type="dxa" w:w="1701"/>
          </w:tcPr>
          <w:p>
            <w:r/>
            <w:r>
              <w:rPr>
                <w:sz w:val="18"/>
              </w:rPr>
              <w:t>7.9 Limitaciones de los resultados actuales</w:t>
            </w:r>
          </w:p>
        </w:tc>
        <w:tc>
          <w:tcPr>
            <w:tcW w:type="dxa" w:w="4309"/>
          </w:tcPr>
          <w:p>
            <w:r/>
            <w:r>
              <w:rPr>
                <w:sz w:val="18"/>
              </w:rPr>
              <w:t>El resultado de navegación corresponde a una única sesión, sin repeticiones que separen variabilidad real de puntual; tampoco se ha investigado en profundidad la causa exacta del único fallo observado.</w:t>
            </w:r>
          </w:p>
        </w:tc>
        <w:tc>
          <w:tcPr>
            <w:tcW w:type="dxa" w:w="1644"/>
          </w:tcPr>
          <w:p>
            <w:r/>
            <w:r>
              <w:rPr>
                <w:sz w:val="18"/>
              </w:rPr>
            </w:r>
          </w:p>
        </w:tc>
      </w:tr>
    </w:tbl>
    <w:p>
      <w:pPr>
        <w:spacing w:before="240" w:after="80"/>
      </w:pPr>
      <w:r>
        <w:rPr>
          <w:b/>
          <w:color w:val="10233F"/>
          <w:sz w:val="28"/>
        </w:rPr>
        <w:t>D. Propuesta de texto para la declaración de IA (§3.1 y §3.2.1)</w:t>
      </w:r>
    </w:p>
    <w:p>
      <w:pPr>
        <w:spacing w:after="80"/>
      </w:pPr>
      <w:r>
        <w:rPr>
          <w:i w:val="0"/>
          <w:sz w:val="20"/>
        </w:rPr>
        <w:t>Sustituye el texto actual de §3.2.1 (“El asistente no tomó decisiones de diseño…”) por esta versión, ajustada a lo que pasó de verdad. Revísala después de tu reescritura, porque debe seguir siendo cierta:</w:t>
      </w:r>
    </w:p>
    <w:p>
      <w:pPr>
        <w:spacing w:after="80"/>
      </w:pPr>
      <w:r>
        <w:rPr>
          <w:i/>
          <w:sz w:val="20"/>
        </w:rPr>
        <w:t>“Durante el desarrollo se ha utilizado un asistente de inteligencia artificial conversacional (Claude, Anthropic) para diagnosticar errores de compilación y configuración de ROS 2, revisar fragmentos de código y, en la fase final de redacción, reformular y recortar algunos párrafos para ajustar la memoria al límite de páginas. El autor ha revisado y validado cada cambio. Las decisiones de diseño, los datos experimentales, las pruebas en el robot y las conclusiones son responsabilidad del autor.”</w:t>
      </w:r>
    </w:p>
    <w:p>
      <w:pPr>
        <w:spacing w:before="240" w:after="80"/>
      </w:pPr>
      <w:r>
        <w:rPr>
          <w:b/>
          <w:color w:val="10233F"/>
          <w:sz w:val="28"/>
        </w:rPr>
        <w:t>E. Antes de enviar</w:t>
      </w:r>
    </w:p>
    <w:p>
      <w:pPr>
        <w:spacing w:after="80"/>
      </w:pPr>
      <w:r>
        <w:rPr>
          <w:i w:val="0"/>
          <w:sz w:val="21"/>
        </w:rPr>
        <w:t>☐  Revisar la portada EN y completar el nombre del máster.</w:t>
      </w:r>
    </w:p>
    <w:p>
      <w:pPr>
        <w:spacing w:after="80"/>
      </w:pPr>
      <w:r>
        <w:rPr>
          <w:i w:val="0"/>
          <w:sz w:val="21"/>
        </w:rPr>
        <w:t>☐  Actualizar el índice (clic derecho sobre el índice, Actualizar campo) si cambias títulos o páginas.</w:t>
      </w:r>
    </w:p>
    <w:p>
      <w:pPr>
        <w:spacing w:after="80"/>
      </w:pPr>
      <w:r>
        <w:rPr>
          <w:i w:val="0"/>
          <w:sz w:val="21"/>
        </w:rPr>
        <w:t>☐  Comprobar que las citas del texto coinciden con la bibliografía tras resolver los puntos 1 a 4 de la sección B.</w:t>
      </w:r>
    </w:p>
    <w:p>
      <w:pPr>
        <w:spacing w:after="80"/>
      </w:pPr>
      <w:r>
        <w:rPr>
          <w:i w:val="0"/>
          <w:sz w:val="21"/>
        </w:rPr>
        <w:t>☐  Confirmar el número final de páginas (ahora 29) dentro del límite de 25 a 30.</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