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33F"/>
          <w:sz w:val="36"/>
        </w:rPr>
        <w:t>Pendientes para la memoria del TFM</w:t>
      </w:r>
    </w:p>
    <w:p>
      <w:pPr>
        <w:spacing w:after="80"/>
      </w:pPr>
      <w:r>
        <w:rPr>
          <w:i/>
          <w:sz w:val="20"/>
        </w:rPr>
        <w:t>Juan Muñoz Rovira · preparado el 06/10/2026 · para revisar y enviar mañana</w:t>
      </w:r>
    </w:p>
    <w:p>
      <w:pPr>
        <w:spacing w:before="240" w:after="80"/>
      </w:pPr>
      <w:r>
        <w:rPr>
          <w:b/>
          <w:color w:val="10233F"/>
          <w:sz w:val="28"/>
        </w:rPr>
        <w:t>A. Formato APA: ya aplicado (versiones ES y EN)</w:t>
      </w:r>
    </w:p>
    <w:p>
      <w:pPr>
        <w:spacing w:after="80"/>
      </w:pPr>
      <w:r>
        <w:rPr>
          <w:i w:val="0"/>
          <w:sz w:val="21"/>
        </w:rPr>
        <w:t>•  Numeración de página arriba a la derecha, en todas las páginas.</w:t>
      </w:r>
    </w:p>
    <w:p>
      <w:pPr>
        <w:spacing w:after="80"/>
      </w:pPr>
      <w:r>
        <w:rPr>
          <w:i w:val="0"/>
          <w:sz w:val="21"/>
        </w:rPr>
        <w:t>•  Títulos de capítulo centrados y en negrita; niveles 2 y 3 alineados a la izquierda (nivel 3 en cursiva), todos en negro.</w:t>
      </w:r>
    </w:p>
    <w:p>
      <w:pPr>
        <w:spacing w:after="80"/>
      </w:pPr>
      <w:r>
        <w:rPr>
          <w:i w:val="0"/>
          <w:sz w:val="21"/>
        </w:rPr>
        <w:t>•  Pies de tabla y figura: “Figura 2.1” o “Tabla 4.1” en negrita, título en cursiva en la línea siguiente.</w:t>
      </w:r>
    </w:p>
    <w:p>
      <w:pPr>
        <w:spacing w:after="80"/>
      </w:pPr>
      <w:r>
        <w:rPr>
          <w:i w:val="0"/>
          <w:sz w:val="21"/>
        </w:rPr>
        <w:t>•  Bibliografía: sangría francesa, sin numeración automática, títulos de revista y volumen en cursiva.</w:t>
      </w:r>
    </w:p>
    <w:p>
      <w:pPr>
        <w:spacing w:after="80"/>
      </w:pPr>
      <w:r>
        <w:rPr>
          <w:i w:val="0"/>
          <w:sz w:val="21"/>
        </w:rPr>
        <w:t>•  Índice actualizado. El documento tiene 29 páginas en las dos versiones.</w:t>
      </w:r>
    </w:p>
    <w:p>
      <w:pPr>
        <w:spacing w:before="240" w:after="80"/>
      </w:pPr>
      <w:r>
        <w:rPr>
          <w:b/>
          <w:color w:val="10233F"/>
          <w:sz w:val="28"/>
        </w:rPr>
        <w:t>B. Lo que tienes que decidir o completar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93"/>
        <w:gridCol w:w="2493"/>
        <w:gridCol w:w="2493"/>
        <w:gridCol w:w="2493"/>
      </w:tblGrid>
      <w:tr>
        <w:tc>
          <w:tcPr>
            <w:tcW w:type="dxa" w:w="397"/>
            <w:shd w:val="clear" w:color="auto" w:fill="E3EEEC"/>
          </w:tcPr>
          <w:p>
            <w:r/>
            <w:r>
              <w:rPr>
                <w:b/>
                <w:sz w:val="19"/>
              </w:rPr>
              <w:t>#</w:t>
            </w:r>
          </w:p>
        </w:tc>
        <w:tc>
          <w:tcPr>
            <w:tcW w:type="dxa" w:w="1928"/>
            <w:shd w:val="clear" w:color="auto" w:fill="E3EEEC"/>
          </w:tcPr>
          <w:p>
            <w:r/>
            <w:r>
              <w:rPr>
                <w:b/>
                <w:sz w:val="19"/>
              </w:rPr>
              <w:t>Elemento</w:t>
            </w:r>
          </w:p>
        </w:tc>
        <w:tc>
          <w:tcPr>
            <w:tcW w:type="dxa" w:w="3402"/>
            <w:shd w:val="clear" w:color="auto" w:fill="E3EEEC"/>
          </w:tcPr>
          <w:p>
            <w:r/>
            <w:r>
              <w:rPr>
                <w:b/>
                <w:sz w:val="19"/>
              </w:rPr>
              <w:t>Problema</w:t>
            </w:r>
          </w:p>
        </w:tc>
        <w:tc>
          <w:tcPr>
            <w:tcW w:type="dxa" w:w="3969"/>
            <w:shd w:val="clear" w:color="auto" w:fill="E3EEEC"/>
          </w:tcPr>
          <w:p>
            <w:r/>
            <w:r>
              <w:rPr>
                <w:b/>
                <w:sz w:val="19"/>
              </w:rPr>
              <w:t>Qué hacer</w:t>
            </w:r>
          </w:p>
        </w:tc>
      </w:tr>
      <w:tr>
        <w:tc>
          <w:tcPr>
            <w:tcW w:type="dxa" w:w="397"/>
          </w:tcPr>
          <w:p>
            <w:r/>
            <w:r>
              <w:rPr>
                <w:sz w:val="18"/>
              </w:rPr>
              <w:t>1</w:t>
            </w:r>
          </w:p>
        </w:tc>
        <w:tc>
          <w:tcPr>
            <w:tcW w:type="dxa" w:w="1928"/>
          </w:tcPr>
          <w:p>
            <w:r/>
            <w:r>
              <w:rPr>
                <w:sz w:val="18"/>
              </w:rPr>
              <w:t>Schulz et al. (2003)</w:t>
            </w:r>
          </w:p>
        </w:tc>
        <w:tc>
          <w:tcPr>
            <w:tcW w:type="dxa" w:w="3402"/>
          </w:tcPr>
          <w:p>
            <w:r/>
            <w:r>
              <w:rPr>
                <w:sz w:val="18"/>
              </w:rPr>
              <w:t>Está en la bibliografía pero no se cita en el texto.</w:t>
            </w:r>
          </w:p>
        </w:tc>
        <w:tc>
          <w:tcPr>
            <w:tcW w:type="dxa" w:w="3969"/>
          </w:tcPr>
          <w:p>
            <w:r/>
            <w:r>
              <w:rPr>
                <w:sz w:val="18"/>
              </w:rPr>
              <w:t>Citarla en §5.7 junto a Bellotto y Hu (2010), o eliminarla de la bibliografía.</w:t>
            </w:r>
          </w:p>
        </w:tc>
      </w:tr>
      <w:tr>
        <w:tc>
          <w:tcPr>
            <w:tcW w:type="dxa" w:w="397"/>
          </w:tcPr>
          <w:p>
            <w:r/>
            <w:r>
              <w:rPr>
                <w:sz w:val="18"/>
              </w:rPr>
              <w:t>2</w:t>
            </w:r>
          </w:p>
        </w:tc>
        <w:tc>
          <w:tcPr>
            <w:tcW w:type="dxa" w:w="1928"/>
          </w:tcPr>
          <w:p>
            <w:r/>
            <w:r>
              <w:rPr>
                <w:sz w:val="18"/>
              </w:rPr>
              <w:t>“y” o “&amp;”</w:t>
            </w:r>
          </w:p>
        </w:tc>
        <w:tc>
          <w:tcPr>
            <w:tcW w:type="dxa" w:w="3402"/>
          </w:tcPr>
          <w:p>
            <w:r/>
            <w:r>
              <w:rPr>
                <w:sz w:val="18"/>
              </w:rPr>
              <w:t>En las referencias y en las citas entre paréntesis se usa “y”.</w:t>
            </w:r>
          </w:p>
        </w:tc>
        <w:tc>
          <w:tcPr>
            <w:tcW w:type="dxa" w:w="3969"/>
          </w:tcPr>
          <w:p>
            <w:r/>
            <w:r>
              <w:rPr>
                <w:sz w:val="18"/>
              </w:rPr>
              <w:t>Si tu programa exige APA 7 estándar, cámbialo a “&amp;” en referencias y en paréntesis (Bellotto &amp; Hu, 2010). Dime cuál aplica.</w:t>
            </w:r>
          </w:p>
        </w:tc>
      </w:tr>
      <w:tr>
        <w:tc>
          <w:tcPr>
            <w:tcW w:type="dxa" w:w="397"/>
          </w:tcPr>
          <w:p>
            <w:r/>
            <w:r>
              <w:rPr>
                <w:sz w:val="18"/>
              </w:rPr>
              <w:t>3</w:t>
            </w:r>
          </w:p>
        </w:tc>
        <w:tc>
          <w:tcPr>
            <w:tcW w:type="dxa" w:w="1928"/>
          </w:tcPr>
          <w:p>
            <w:r/>
            <w:r>
              <w:rPr>
                <w:sz w:val="18"/>
              </w:rPr>
              <w:t>Yao et al. (2023): “En:”</w:t>
            </w:r>
          </w:p>
        </w:tc>
        <w:tc>
          <w:tcPr>
            <w:tcW w:type="dxa" w:w="3402"/>
          </w:tcPr>
          <w:p>
            <w:r/>
            <w:r>
              <w:rPr>
                <w:sz w:val="18"/>
              </w:rPr>
              <w:t>En APA en inglés se escribe “In:”.</w:t>
            </w:r>
          </w:p>
        </w:tc>
        <w:tc>
          <w:tcPr>
            <w:tcW w:type="dxa" w:w="3969"/>
          </w:tcPr>
          <w:p>
            <w:r/>
            <w:r>
              <w:rPr>
                <w:sz w:val="18"/>
              </w:rPr>
              <w:t>Elige “In:” o “En:” según la norma del documento, y mantenlo coherente.</w:t>
            </w:r>
          </w:p>
        </w:tc>
      </w:tr>
      <w:tr>
        <w:tc>
          <w:tcPr>
            <w:tcW w:type="dxa" w:w="397"/>
          </w:tcPr>
          <w:p>
            <w:r/>
            <w:r>
              <w:rPr>
                <w:sz w:val="18"/>
              </w:rPr>
              <w:t>4</w:t>
            </w:r>
          </w:p>
        </w:tc>
        <w:tc>
          <w:tcPr>
            <w:tcW w:type="dxa" w:w="1928"/>
          </w:tcPr>
          <w:p>
            <w:r/>
            <w:r>
              <w:rPr>
                <w:sz w:val="18"/>
              </w:rPr>
              <w:t>Grishchenko et al. (2022)</w:t>
            </w:r>
          </w:p>
        </w:tc>
        <w:tc>
          <w:tcPr>
            <w:tcW w:type="dxa" w:w="3402"/>
          </w:tcPr>
          <w:p>
            <w:r/>
            <w:r>
              <w:rPr>
                <w:sz w:val="18"/>
              </w:rPr>
              <w:t>APA 7 exige listar todos los autores; aquí aparece “et al.” en la referencia.</w:t>
            </w:r>
          </w:p>
        </w:tc>
        <w:tc>
          <w:tcPr>
            <w:tcW w:type="dxa" w:w="3969"/>
          </w:tcPr>
          <w:p>
            <w:r/>
            <w:r>
              <w:rPr>
                <w:sz w:val="18"/>
              </w:rPr>
              <w:t>Completar con la lista de autores de arXiv:2206.11678 (copia de la página del artículo).</w:t>
            </w:r>
          </w:p>
        </w:tc>
      </w:tr>
      <w:tr>
        <w:tc>
          <w:tcPr>
            <w:tcW w:type="dxa" w:w="397"/>
          </w:tcPr>
          <w:p>
            <w:r/>
            <w:r>
              <w:rPr>
                <w:sz w:val="18"/>
              </w:rPr>
              <w:t>5</w:t>
            </w:r>
          </w:p>
        </w:tc>
        <w:tc>
          <w:tcPr>
            <w:tcW w:type="dxa" w:w="1928"/>
          </w:tcPr>
          <w:p>
            <w:r/>
            <w:r>
              <w:rPr>
                <w:sz w:val="18"/>
              </w:rPr>
              <w:t>DOI</w:t>
            </w:r>
          </w:p>
        </w:tc>
        <w:tc>
          <w:tcPr>
            <w:tcW w:type="dxa" w:w="3402"/>
          </w:tcPr>
          <w:p>
            <w:r/>
            <w:r>
              <w:rPr>
                <w:sz w:val="18"/>
              </w:rPr>
              <w:t>Ninguna referencia tiene DOI.</w:t>
            </w:r>
          </w:p>
        </w:tc>
        <w:tc>
          <w:tcPr>
            <w:tcW w:type="dxa" w:w="3969"/>
          </w:tcPr>
          <w:p>
            <w:r/>
            <w:r>
              <w:rPr>
                <w:sz w:val="18"/>
              </w:rPr>
              <w:t>Añadir el DOI de cada artículo. Para los preprints de arXiv: https://doi.org/10.48550/arXiv.XXXX (Bazarevsky 2006.10204; Grishchenko 2206.11678; Macenski 2003.00368; Minase 2604.00363).</w:t>
            </w:r>
          </w:p>
        </w:tc>
      </w:tr>
      <w:tr>
        <w:tc>
          <w:tcPr>
            <w:tcW w:type="dxa" w:w="397"/>
          </w:tcPr>
          <w:p>
            <w:r/>
            <w:r>
              <w:rPr>
                <w:sz w:val="18"/>
              </w:rPr>
              <w:t>6</w:t>
            </w:r>
          </w:p>
        </w:tc>
        <w:tc>
          <w:tcPr>
            <w:tcW w:type="dxa" w:w="1928"/>
          </w:tcPr>
          <w:p>
            <w:r/>
            <w:r>
              <w:rPr>
                <w:sz w:val="18"/>
              </w:rPr>
              <w:t>Tablas sin título numerado</w:t>
            </w:r>
          </w:p>
        </w:tc>
        <w:tc>
          <w:tcPr>
            <w:tcW w:type="dxa" w:w="3402"/>
          </w:tcPr>
          <w:p>
            <w:r/>
            <w:r>
              <w:rPr>
                <w:sz w:val="18"/>
              </w:rPr>
              <w:t>Hay tablas sin el encabezado “Tabla X.Y”: Tabla 1.1 (fases), Tabla 3.1 (IA) y las seis tablas del Capítulo 7.</w:t>
            </w:r>
          </w:p>
        </w:tc>
        <w:tc>
          <w:tcPr>
            <w:tcW w:type="dxa" w:w="3969"/>
          </w:tcPr>
          <w:p>
            <w:r/>
            <w:r>
              <w:rPr>
                <w:sz w:val="18"/>
              </w:rPr>
              <w:t>Propongo numerarlas y titularlas así: Tabla 1.1 (fases del proyecto); Tabla 3.1 (proporción de trabajo y apoyo de IA por tarea); Tabla 7.1 (fusión sin movimiento, 25/06); Tabla 7.2 (correcciones de continuidad, 08/07); Tabla 7.3 (escenarios con el sistema estabilizado, 22/07); Tabla 7.4 (obstáculo, 22-23/07); Tabla 7.5 (navegación Nav2, 27/07); Tabla 7.6 (métricas del gesto “casa”, 23/09). Los títulos finales los decides tú.</w:t>
            </w:r>
          </w:p>
        </w:tc>
      </w:tr>
      <w:tr>
        <w:tc>
          <w:tcPr>
            <w:tcW w:type="dxa" w:w="397"/>
          </w:tcPr>
          <w:p>
            <w:r/>
            <w:r>
              <w:rPr>
                <w:sz w:val="18"/>
              </w:rPr>
              <w:t>7</w:t>
            </w:r>
          </w:p>
        </w:tc>
        <w:tc>
          <w:tcPr>
            <w:tcW w:type="dxa" w:w="1928"/>
          </w:tcPr>
          <w:p>
            <w:r/>
            <w:r>
              <w:rPr>
                <w:sz w:val="18"/>
              </w:rPr>
              <w:t>Portada inglesa</w:t>
            </w:r>
          </w:p>
        </w:tc>
        <w:tc>
          <w:tcPr>
            <w:tcW w:type="dxa" w:w="3402"/>
          </w:tcPr>
          <w:p>
            <w:r/>
            <w:r>
              <w:rPr>
                <w:sz w:val="18"/>
              </w:rPr>
              <w:t>En la versión EN, la portada dice “Master's Degree in [master's programme name]”: el marcador sigue sin rellenar.</w:t>
            </w:r>
          </w:p>
        </w:tc>
        <w:tc>
          <w:tcPr>
            <w:tcW w:type="dxa" w:w="3969"/>
          </w:tcPr>
          <w:p>
            <w:r/>
            <w:r>
              <w:rPr>
                <w:sz w:val="18"/>
              </w:rPr>
              <w:t>Escribir el nombre del máster. (En la versión ES ya aparece “Máster en Sistemas inteligentes”.)</w:t>
            </w:r>
          </w:p>
        </w:tc>
      </w:tr>
      <w:tr>
        <w:tc>
          <w:tcPr>
            <w:tcW w:type="dxa" w:w="397"/>
          </w:tcPr>
          <w:p>
            <w:r/>
            <w:r>
              <w:rPr>
                <w:sz w:val="18"/>
              </w:rPr>
              <w:t>8</w:t>
            </w:r>
          </w:p>
        </w:tc>
        <w:tc>
          <w:tcPr>
            <w:tcW w:type="dxa" w:w="1928"/>
          </w:tcPr>
          <w:p>
            <w:r/>
            <w:r>
              <w:rPr>
                <w:sz w:val="18"/>
              </w:rPr>
              <w:t>Figuras con fuente</w:t>
            </w:r>
          </w:p>
        </w:tc>
        <w:tc>
          <w:tcPr>
            <w:tcW w:type="dxa" w:w="3402"/>
          </w:tcPr>
          <w:p>
            <w:r/>
            <w:r>
              <w:rPr>
                <w:sz w:val="18"/>
              </w:rPr>
              <w:t>Las figuras 2.1 a 2.5 son diagramas propios, pero APA pide nota cuando una figura procede de otra fuente.</w:t>
            </w:r>
          </w:p>
        </w:tc>
        <w:tc>
          <w:tcPr>
            <w:tcW w:type="dxa" w:w="3969"/>
          </w:tcPr>
          <w:p>
            <w:r/>
            <w:r>
              <w:rPr>
                <w:sz w:val="18"/>
              </w:rPr>
              <w:t>Si son tuyas, no hace falta nota. Si alguna se basa en documentación (p. ej. la arquitectura de Nav2), añade “Nota. Adaptada de …”.</w:t>
            </w:r>
          </w:p>
        </w:tc>
      </w:tr>
      <w:tr>
        <w:tc>
          <w:tcPr>
            <w:tcW w:type="dxa" w:w="397"/>
          </w:tcPr>
          <w:p>
            <w:r/>
            <w:r>
              <w:rPr>
                <w:sz w:val="18"/>
              </w:rPr>
              <w:t>9</w:t>
            </w:r>
          </w:p>
        </w:tc>
        <w:tc>
          <w:tcPr>
            <w:tcW w:type="dxa" w:w="1928"/>
          </w:tcPr>
          <w:p>
            <w:r/>
            <w:r>
              <w:rPr>
                <w:sz w:val="18"/>
              </w:rPr>
              <w:t>Declaración de IA (§3.1 y §3.2.1)</w:t>
            </w:r>
          </w:p>
        </w:tc>
        <w:tc>
          <w:tcPr>
            <w:tcW w:type="dxa" w:w="3402"/>
          </w:tcPr>
          <w:p>
            <w:r/>
            <w:r>
              <w:rPr>
                <w:sz w:val="18"/>
              </w:rPr>
              <w:t>El texto dice que el asistente “no redactó el análisis del estado del arte ni las conclusiones”. Eso ya no es exacto: la IA recortó y reformuló párrafos de los capítulos 1, 2, 5, 6 y 7.</w:t>
            </w:r>
          </w:p>
        </w:tc>
        <w:tc>
          <w:tcPr>
            <w:tcW w:type="dxa" w:w="3969"/>
          </w:tcPr>
          <w:p>
            <w:r/>
            <w:r>
              <w:rPr>
                <w:sz w:val="18"/>
              </w:rPr>
              <w:t>Actualizar la declaración con la redacción de la sección D (propuesta abajo).</w:t>
            </w:r>
          </w:p>
        </w:tc>
      </w:tr>
    </w:tbl>
    <w:p>
      <w:pPr>
        <w:spacing w:before="240" w:after="80"/>
      </w:pPr>
      <w:r>
        <w:rPr>
          <w:b/>
          <w:color w:val="10233F"/>
          <w:sz w:val="28"/>
        </w:rPr>
        <w:t>C. Frases a reescribir con tus palabras</w:t>
      </w:r>
    </w:p>
    <w:p>
      <w:pPr>
        <w:spacing w:after="80"/>
      </w:pPr>
      <w:r>
        <w:rPr>
          <w:i w:val="0"/>
          <w:sz w:val="20"/>
        </w:rPr>
        <w:t>Lista de frases detectadas en la versión ES. Sirve para bajar la densidad de guiones largos (los incisos entre rayas), las muletillas y los párrafos que redacté yo en las últimas sesiones. No hace falta cambiarlas todas: prioriza las marcadas como “Párrafo redactado con IA”. La última columna es para tu versión.</w:t>
      </w:r>
    </w:p>
    <w:p>
      <w:r>
        <w:t>Propuestas de redacción (borrador de la IA, con un tono más cercano). Léelas en voz alta y cambia lo que no digas tú. Los marcados con ⚠ necesitan decisión tuya. Las cifras y las referencias de cada frase se mantienen tal cual.</w:t>
      </w:r>
    </w:p>
    <w:p>
      <w:pPr>
        <w:spacing w:after="80"/>
      </w:pPr>
      <w:r>
        <w:rPr>
          <w:i/>
          <w:sz w:val="21"/>
        </w:rPr>
        <w:t>C1. Párrafos redactados o reformulados por la IA (prioridad alta)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Texto actual</w:t>
            </w:r>
          </w:p>
        </w:tc>
        <w:tc>
          <w:tcPr>
            <w:tcW w:type="dxa" w:w="1644"/>
            <w:shd w:val="clear" w:color="auto" w:fill="E3EEEC"/>
          </w:tcPr>
          <w:p>
            <w:r/>
            <w:r>
              <w:rPr>
                <w:b/>
                <w:sz w:val="19"/>
              </w:rPr>
              <w:t>Tu versión</w:t>
            </w:r>
          </w:p>
        </w:tc>
      </w:tr>
      <w:tr>
        <w:tc>
          <w:tcPr>
            <w:tcW w:type="dxa" w:w="510"/>
          </w:tcPr>
          <w:p>
            <w:r/>
            <w:r>
              <w:rPr>
                <w:sz w:val="18"/>
              </w:rPr>
              <w:t>M1</w:t>
            </w:r>
          </w:p>
        </w:tc>
        <w:tc>
          <w:tcPr>
            <w:tcW w:type="dxa" w:w="1474"/>
          </w:tcPr>
          <w:p>
            <w:r/>
            <w:r>
              <w:rPr>
                <w:sz w:val="18"/>
              </w:rPr>
              <w:t>Preliminares</w:t>
            </w:r>
          </w:p>
        </w:tc>
        <w:tc>
          <w:tcPr>
            <w:tcW w:type="dxa" w:w="1701"/>
          </w:tcPr>
          <w:p>
            <w:r/>
            <w:r>
              <w:rPr>
                <w:sz w:val="18"/>
              </w:rPr>
              <w:t>Nota sobre el estado de este documento</w:t>
            </w:r>
          </w:p>
        </w:tc>
        <w:tc>
          <w:tcPr>
            <w:tcW w:type="dxa" w:w="4309"/>
          </w:tcPr>
          <w:p>
            <w:r/>
            <w:r>
              <w:rPr>
                <w:sz w:val="18"/>
              </w:rPr>
              <w:t>Este documento reúne los siete capítulos de la memoria técnica del TFM, elaborados a partir del contenido y los datos recogidos en el repositorio del proyecto, incluida la validación del gesto “casa” del 23 de septiembre de 2026 (§7.8). El Capítulo 7 refleja la validación experimental cerrada a fecha de redacción; las líneas que quedan fuera del alcance de este TFM se recogen como trabajo futuro en §7.10.</w:t>
            </w:r>
          </w:p>
        </w:tc>
        <w:tc>
          <w:tcPr>
            <w:tcW w:type="dxa" w:w="1644"/>
          </w:tcPr>
          <w:p>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tc>
      </w:tr>
      <w:tr>
        <w:tc>
          <w:tcPr>
            <w:tcW w:type="dxa" w:w="510"/>
          </w:tcPr>
          <w:p>
            <w:r/>
            <w:r>
              <w:rPr>
                <w:sz w:val="18"/>
              </w:rPr>
              <w:t>M2</w:t>
            </w:r>
          </w:p>
        </w:tc>
        <w:tc>
          <w:tcPr>
            <w:tcW w:type="dxa" w:w="1474"/>
          </w:tcPr>
          <w:p>
            <w:r/>
            <w:r>
              <w:rPr>
                <w:sz w:val="18"/>
              </w:rPr>
              <w:t>Cap. 1 — Introducción y planteamiento d</w:t>
            </w:r>
          </w:p>
        </w:tc>
        <w:tc>
          <w:tcPr>
            <w:tcW w:type="dxa" w:w="1701"/>
          </w:tcPr>
          <w:p>
            <w:r/>
            <w:r>
              <w:rPr>
                <w:sz w:val="18"/>
              </w:rPr>
              <w:t>1.2 Objetivos del TFM</w:t>
            </w:r>
          </w:p>
        </w:tc>
        <w:tc>
          <w:tcPr>
            <w:tcW w:type="dxa" w:w="4309"/>
          </w:tcPr>
          <w:p>
            <w:r/>
            <w:r>
              <w:rPr>
                <w:sz w:val="18"/>
              </w:rPr>
              <w:t>Guiado de usuarios. Implementación de comportamientos de acompañamiento hacia destinos predefinidos del edificio. Primer paso validado en el robot real el 23 de septiembre de 2026: el gesto “casa” integra seguimiento y navegación en un único sistema, con 9 de 11 vueltas a casa completadas (82 %) y 0,27 m de error medio de llegada (§7.8). El guiado a varios destinos queda como trabajo futuro (§7.10).</w:t>
            </w:r>
          </w:p>
        </w:tc>
        <w:tc>
          <w:tcPr>
            <w:tcW w:type="dxa" w:w="1644"/>
          </w:tcPr>
          <w:p>
            <w:r>
              <w:t>Guiado de usuarios: que el robot acompañe a la persona hacia destinos predefinidos del edificio. El 23 de septiembre de 2026 validamos un primer paso en el robot real. El gesto “casa” junta seguimiento y navegación en un solo sistema: 9 de 11 vueltas completadas (82 %) y 0,27 m de error medio al llegar (§7.8). Guiar a varios destinos se queda como trabajo futuro (§7.10).</w:t>
            </w:r>
          </w:p>
        </w:tc>
      </w:tr>
      <w:tr>
        <w:tc>
          <w:tcPr>
            <w:tcW w:type="dxa" w:w="510"/>
          </w:tcPr>
          <w:p>
            <w:r/>
            <w:r>
              <w:rPr>
                <w:sz w:val="18"/>
              </w:rPr>
              <w:t>M3</w:t>
            </w:r>
          </w:p>
        </w:tc>
        <w:tc>
          <w:tcPr>
            <w:tcW w:type="dxa" w:w="1474"/>
          </w:tcPr>
          <w:p>
            <w:r/>
            <w:r>
              <w:rPr>
                <w:sz w:val="18"/>
              </w:rPr>
              <w:t>Cap. 4 — Diario de desarrollo</w:t>
            </w:r>
          </w:p>
        </w:tc>
        <w:tc>
          <w:tcPr>
            <w:tcW w:type="dxa" w:w="1701"/>
          </w:tcPr>
          <w:p>
            <w:r/>
            <w:r>
              <w:rPr>
                <w:sz w:val="18"/>
              </w:rPr>
              <w:t>Inicio del capítulo</w:t>
            </w:r>
          </w:p>
        </w:tc>
        <w:tc>
          <w:tcPr>
            <w:tcW w:type="dxa" w:w="4309"/>
          </w:tcPr>
          <w:p>
            <w:r/>
            <w:r>
              <w:rPr>
                <w:sz w:val="18"/>
              </w:rP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tc>
        <w:tc>
          <w:tcPr>
            <w:tcW w:type="dxa" w:w="1644"/>
          </w:tcPr>
          <w:p>
            <w:r>
              <w:t>Aquí va el día a día del proyecto: sesión a sesión, con sus hitos y las correcciones que fueron saliendo. La Tabla 4.1 tiene la cronología completa. El Capítulo 6 cuenta cómo quedó cada módulo al final, así que este capítulo es más bien el camino que llevó hasta allí. La Fase 4 se cerró el 23 de septiembre de 2026 con la validación del gesto “casa” (véanse §7.8 y §7.10).</w:t>
            </w:r>
          </w:p>
        </w:tc>
      </w:tr>
      <w:tr>
        <w:tc>
          <w:tcPr>
            <w:tcW w:type="dxa" w:w="510"/>
          </w:tcPr>
          <w:p>
            <w:r/>
            <w:r>
              <w:rPr>
                <w:sz w:val="18"/>
              </w:rPr>
              <w:t>M4</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tc>
        <w:tc>
          <w:tcPr>
            <w:tcW w:type="dxa" w:w="1644"/>
          </w:tcPr>
          <w:p>
            <w:r>
              <w:t>Ningún subsistema es nuevo por sí solo. La detección por clustering, MediaPipe Pose, la fusión LiDAR-cámara, el Kalman lineal, la evitación reactiva, SLAM Toolbox y Nav2 son técnicas que ya existían. Lo que aporta el TFM es juntarlas en un robot real con poca potencia y adaptarlas a esas limitaciones:</w:t>
            </w:r>
          </w:p>
        </w:tc>
      </w:tr>
      <w:tr>
        <w:tc>
          <w:tcPr>
            <w:tcW w:type="dxa" w:w="510"/>
          </w:tcPr>
          <w:p>
            <w:r/>
            <w:r>
              <w:rPr>
                <w:sz w:val="18"/>
              </w:rPr>
              <w:t>M5</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Reimplementación de DBSCAN sobre scipy.cKDTree ante una incompatibilidad de scikit-learn con la versión de Python del NUC (§2.3.1).</w:t>
            </w:r>
          </w:p>
        </w:tc>
        <w:tc>
          <w:tcPr>
            <w:tcW w:type="dxa" w:w="1644"/>
          </w:tcPr>
          <w:p>
            <w:r>
              <w:t>DBSCAN reimplementado sobre scipy.cKDTree, porque scikit-learn no era compatible con la versión de Python del NUC (§2.3.1).</w:t>
            </w:r>
          </w:p>
        </w:tc>
      </w:tr>
      <w:tr>
        <w:tc>
          <w:tcPr>
            <w:tcW w:type="dxa" w:w="510"/>
          </w:tcPr>
          <w:p>
            <w:r/>
            <w:r>
              <w:rPr>
                <w:sz w:val="18"/>
              </w:rPr>
              <w:t>M6</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esquema de fusión LiDAR-cámara deliberadamente asimétrico y ligero en requisitos de calibración, frente a los esquemas de fusión más simétricos o basados en aprendizaje profundo de la literatura reciente (§5.5).</w:t>
            </w:r>
          </w:p>
        </w:tc>
        <w:tc>
          <w:tcPr>
            <w:tcW w:type="dxa" w:w="1644"/>
          </w:tcPr>
          <w:p>
            <w:r>
              <w:t>Un esquema de fusión LiDAR-cámara a propósito asimétrico y con poca exigencia de calibración, a diferencia de los más simétricos o de aprendizaje profundo que aparecen en la literatura reciente (§5.5).</w:t>
            </w:r>
          </w:p>
        </w:tc>
      </w:tr>
      <w:tr>
        <w:tc>
          <w:tcPr>
            <w:tcW w:type="dxa" w:w="510"/>
          </w:tcPr>
          <w:p>
            <w:r/>
            <w:r>
              <w:rPr>
                <w:sz w:val="18"/>
              </w:rPr>
              <w:t>M7</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Elección de un filtro de Kalman lineal, no un EKF o UKF, aprovechando que el modelo de observación de este sistema concreto ya es lineal (§5.7).</w:t>
            </w:r>
          </w:p>
        </w:tc>
        <w:tc>
          <w:tcPr>
            <w:tcW w:type="dxa" w:w="1644"/>
          </w:tcPr>
          <w:p>
            <w:r>
              <w:t>Kalman lineal y no EKF ni UKF: como el modelo de observación de este sistema ya es lineal, no hace falta más (§5.7).</w:t>
            </w:r>
          </w:p>
        </w:tc>
      </w:tr>
      <w:tr>
        <w:tc>
          <w:tcPr>
            <w:tcW w:type="dxa" w:w="510"/>
          </w:tcPr>
          <w:p>
            <w:r/>
            <w:r>
              <w:rPr>
                <w:sz w:val="18"/>
              </w:rPr>
              <w:t>M8</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vocabulario de gestos mínimo (dos gestos) ajustado estrictamente a la necesidad de iniciar y detener el seguimiento, y no a una interacción general (§5.6).</w:t>
            </w:r>
          </w:p>
        </w:tc>
        <w:tc>
          <w:tcPr>
            <w:tcW w:type="dxa" w:w="1644"/>
          </w:tcPr>
          <w:p>
            <w:r>
              <w:t>Un vocabulario de solo dos gestos, justo lo necesario para empezar y parar el seguimiento. No buscábamos una interacción general (§5.6).</w:t>
            </w:r>
          </w:p>
        </w:tc>
      </w:tr>
      <w:tr>
        <w:tc>
          <w:tcPr>
            <w:tcW w:type="dxa" w:w="510"/>
          </w:tcPr>
          <w:p>
            <w:r/>
            <w:r>
              <w:rPr>
                <w:sz w:val="18"/>
              </w:rPr>
              <w:t>M9</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alcance de Nav2 recortado a una demostración mínima por restricciones reales de tiempo de laboratorio, documentado como tal y no como limitación de la técnica (§5.9, §1.4).</w:t>
            </w:r>
          </w:p>
        </w:tc>
        <w:tc>
          <w:tcPr>
            <w:tcW w:type="dxa" w:w="1644"/>
          </w:tcPr>
          <w:p>
            <w:r>
              <w:t>Nav2 se usa solo en una demostración mínima porque el tiempo de laboratorio era limitado. Es una limitación del proyecto, no de la técnica (§5.9, §1.4).</w:t>
            </w:r>
          </w:p>
        </w:tc>
      </w:tr>
      <w:tr>
        <w:tc>
          <w:tcPr>
            <w:tcW w:type="dxa" w:w="510"/>
          </w:tcPr>
          <w:p>
            <w:r/>
            <w:r>
              <w:rPr>
                <w:sz w:val="18"/>
              </w:rPr>
              <w:t>M10</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t>Lo que hace el TFM es integrar con pocos recursos, más que inventar un algoritmo nuevo. Eso explica las decisiones del Capítulo 6 y los resultados del Capítulo 7, incluido el gesto “casa” (§7.8). No aporta un algoritmo de navegación nuevo. Aporta la forma de repartir la base entre seguimiento y navegación para que ambos compartan el mismo robot de forma segura.</w:t>
            </w:r>
          </w:p>
        </w:tc>
      </w:tr>
      <w:tr>
        <w:tc>
          <w:tcPr>
            <w:tcW w:type="dxa" w:w="510"/>
          </w:tcPr>
          <w:p>
            <w:r/>
            <w:r>
              <w:rPr>
                <w:sz w:val="18"/>
              </w:rPr>
              <w:t>M11</w:t>
            </w:r>
          </w:p>
        </w:tc>
        <w:tc>
          <w:tcPr>
            <w:tcW w:type="dxa" w:w="1474"/>
          </w:tcPr>
          <w:p>
            <w:r/>
            <w:r>
              <w:rPr>
                <w:sz w:val="18"/>
              </w:rPr>
              <w:t>Cap. 7 — Resultados y evaluación</w:t>
            </w:r>
          </w:p>
        </w:tc>
        <w:tc>
          <w:tcPr>
            <w:tcW w:type="dxa" w:w="1701"/>
          </w:tcPr>
          <w:p>
            <w:r/>
            <w:r>
              <w:rPr>
                <w:sz w:val="18"/>
              </w:rPr>
              <w:t>Inicio del capítulo</w:t>
            </w:r>
          </w:p>
        </w:tc>
        <w:tc>
          <w:tcPr>
            <w:tcW w:type="dxa" w:w="4309"/>
          </w:tcPr>
          <w:p>
            <w:r/>
            <w:r>
              <w:rPr>
                <w:sz w:val="18"/>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tc>
        <w:tc>
          <w:tcPr>
            <w:tcW w:type="dxa" w:w="1644"/>
          </w:tcPr>
          <w:p>
            <w:r>
              <w:t>Los datos de este capítulo salen de las pruebas en el laboratorio de la UJI, hasta la última sesión del 23 de septiembre de 2026 (§7.8). Varios escenarios tienen pocas muestras, y lo explicamos en §7.9. Lo que se sale del alcance del TFM está en §7.10.</w:t>
            </w:r>
          </w:p>
        </w:tc>
      </w:tr>
      <w:tr>
        <w:tc>
          <w:tcPr>
            <w:tcW w:type="dxa" w:w="510"/>
          </w:tcPr>
          <w:p>
            <w:r/>
            <w:r>
              <w:rPr>
                <w:sz w:val="18"/>
              </w:rPr>
              <w:t>M12</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Última sesión de laboratorio. Con un gesto (“tejado”: ambas manos juntas sobre la cabeza), el usuario ordena al robot que deje de seguirle y vuelva de forma autónoma, con Nav2, a una pose “casa” predefinida — la primera integración de seguimiento y navegación en un único sistema, con control_node arbitrando qué fuente de velocidad llega a la base (§2.3.4, §6.6).</w:t>
            </w:r>
          </w:p>
        </w:tc>
        <w:tc>
          <w:tcPr>
            <w:tcW w:type="dxa" w:w="1644"/>
          </w:tcPr>
          <w:p>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tc>
      </w:tr>
      <w:tr>
        <w:tc>
          <w:tcPr>
            <w:tcW w:type="dxa" w:w="510"/>
          </w:tcPr>
          <w:p>
            <w:r/>
            <w:r>
              <w:rPr>
                <w:sz w:val="18"/>
              </w:rPr>
              <w:t>M13</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Los 2 fallos no se debieron al gesto ni a la máquina de estados: la localización (AMCL, σ≈0,5 m) situó al robot dentro de la zona de seguridad de un obstáculo del mapa, y el planificador no encontró una ruta válida desde ahí; el robot volvió a reposo de forma segura. Es un primer resultado, con una muestra de 11 intentos en una única sesión (véase §7.9).</w:t>
            </w:r>
          </w:p>
        </w:tc>
        <w:tc>
          <w:tcPr>
            <w:tcW w:type="dxa" w:w="1644"/>
          </w:tcPr>
          <w:p>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tc>
      </w:tr>
      <w:tr>
        <w:tc>
          <w:tcPr>
            <w:tcW w:type="dxa" w:w="510"/>
          </w:tcPr>
          <w:p>
            <w:r/>
            <w:r>
              <w:rPr>
                <w:sz w:val="18"/>
              </w:rPr>
              <w:t>M14</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Tamaño muestral limitado: varias filas corresponden a una única toma, sin medida de varianza entre pruebas equivalentes; parada y oclusión se mantienen en una sola repetición al cierre de este capítulo.</w:t>
            </w:r>
          </w:p>
        </w:tc>
        <w:tc>
          <w:tcPr>
            <w:tcW w:type="dxa" w:w="1644"/>
          </w:tcPr>
          <w:p>
            <w:r>
              <w:t>La muestra es pequeña. Varias filas salen de una sola toma, así que no tenemos variabilidad entre pruebas iguales. Las pruebas de parada y oclusión solo tienen una repetición al cerrar el capítulo.</w:t>
            </w:r>
          </w:p>
        </w:tc>
      </w:tr>
      <w:tr>
        <w:tc>
          <w:tcPr>
            <w:tcW w:type="dxa" w:w="510"/>
          </w:tcPr>
          <w:p>
            <w:r/>
            <w:r>
              <w:rPr>
                <w:sz w:val="18"/>
              </w:rPr>
              <w:t>M15</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Duraciones no comparables: las tomas del apartado 7.4 tienen duraciones muy distintas, por lo que las cifras son proporciones dentro de cada toma, no valores normalizados.</w:t>
            </w:r>
          </w:p>
        </w:tc>
        <w:tc>
          <w:tcPr>
            <w:tcW w:type="dxa" w:w="1644"/>
          </w:tcPr>
          <w:p>
            <w:r>
              <w:t>Las tomas del apartado 7.4 duran cosas muy distintas, así que las cifras son proporciones dentro de cada toma, no valores normalizados.</w:t>
            </w:r>
          </w:p>
        </w:tc>
      </w:tr>
      <w:tr>
        <w:tc>
          <w:tcPr>
            <w:tcW w:type="dxa" w:w="510"/>
          </w:tcPr>
          <w:p>
            <w:r/>
            <w:r>
              <w:rPr>
                <w:sz w:val="18"/>
              </w:rPr>
              <w:t>M16</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Gesto de activación infrarrepresentado: las tomas del 8 de julio se activaron con un mecanismo manual, no con el gesto real, así que el objetivo 1 no está representado ahí; sí en las tomas posteriores al 9 de julio.</w:t>
            </w:r>
          </w:p>
        </w:tc>
        <w:tc>
          <w:tcPr>
            <w:tcW w:type="dxa" w:w="1644"/>
          </w:tcPr>
          <w:p>
            <w:r>
              <w:t>Las tomas del 8 de julio se arrancaron con un mecanismo manual y no con el gesto real. Por eso el objetivo 1 no sale representado ahí. Sí aparece en las tomas posteriores al 9 de julio.</w:t>
            </w:r>
          </w:p>
        </w:tc>
      </w:tr>
      <w:tr>
        <w:tc>
          <w:tcPr>
            <w:tcW w:type="dxa" w:w="510"/>
          </w:tcPr>
          <w:p>
            <w:r/>
            <w:r>
              <w:rPr>
                <w:sz w:val="18"/>
              </w:rPr>
              <w:t>M17</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Nav2 sin repeticiones. El resultado de navegación corresponde a una única sesión, sin repeticiones que separen variabilidad real de puntual; tampoco se ha investigado en profundidad la causa exacta del único fallo observado.</w:t>
            </w:r>
          </w:p>
        </w:tc>
        <w:tc>
          <w:tcPr>
            <w:tcW w:type="dxa" w:w="1644"/>
          </w:tcPr>
          <w:p>
            <w:r>
              <w:t>Nav2 solo tiene una sesión, sin repeticiones. Así no sabemos si lo que vemos es un patrón o algo puntual. Tampoco hemos mirado a fondo por qué falló la única vez que falló.</w:t>
            </w:r>
          </w:p>
        </w:tc>
      </w:tr>
      <w:tr>
        <w:tc>
          <w:tcPr>
            <w:tcW w:type="dxa" w:w="510"/>
          </w:tcPr>
          <w:p>
            <w:r/>
            <w:r>
              <w:rPr>
                <w:sz w:val="18"/>
              </w:rPr>
              <w:t>M18</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tc>
        <w:tc>
          <w:tcPr>
            <w:tcW w:type="dxa" w:w="1644"/>
          </w:tcPr>
          <w:p>
            <w:r>
              <w:t>Objetivo 5: solo tenemos un primer paso, con muestra pequeña. El gesto “casa” (§7.8) junta seguimiento y navegación por primera vez, y salieron 9 de 11 vueltas en una sola sesión. Los dos fallos vinieron de la localización (AMCL, σ≈0,5 m), que dejó al robot pegado a un obstáculo del mapa, y desde ahí no había margen para trazar ruta. No fue culpa del gesto ni de la máquina de estados. Guiar a varios destinos, que sería el objetivo completo, queda para más adelante (§7.10).</w:t>
            </w:r>
          </w:p>
        </w:tc>
      </w:tr>
      <w:tr>
        <w:tc>
          <w:tcPr>
            <w:tcW w:type="dxa" w:w="510"/>
          </w:tcPr>
          <w:p>
            <w:r/>
            <w:r>
              <w:rPr>
                <w:sz w:val="18"/>
              </w:rPr>
              <w:t>M19</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Recursos de cómputo compartidos. El NUC embarcado ejecuta a la vez LiDAR, cámara/MediaPipe, seguimiento, SLAM/Nav2 y la interfaz de diagnóstico; en fases tempranas del desarrollo esto provocó desconexiones y bloqueos de puerto que obligaron a optimizar agresivamente el código (puertos duplicados, tasas de publicación, simplificación del pipeline de detección — Capítulo 4). Con todos los nodos y Nav2 activos a la vez, la carga final medida es de ~30 % por núcleo (4 núcleos), sin saturación; no se ha aislado si algún pico de carga puntual contribuyó a los 2 fallos de localización descritos arriba.</w:t>
            </w:r>
          </w:p>
        </w:tc>
        <w:tc>
          <w:tcPr>
            <w:tcW w:type="dxa" w:w="1644"/>
          </w:tcPr>
          <w:p>
            <w:r>
              <w:t>Recursos de cómputo compartidos. El NUC tiene que correr a la vez el LiDAR, la cámara con MediaPipe, el seguimiento, SLAM y Nav2, y la interfaz de diagnóstico. En las primeras fases eso nos dio desconexiones y bloqueos de puerto, y tuvimos que optimizar el código a fondo: puertos duplicados, tasas de publicación y un pipeline de detección más simple (Capítulo 4). Con todo activo a la vez, la carga final medida es de ~30 % por núcleo (4 núcleos), sin saturación. No hemos comprobado si algún pico puntual influyó en los dos fallos de localización.</w:t>
            </w:r>
          </w:p>
        </w:tc>
      </w:tr>
      <w:tr>
        <w:tc>
          <w:tcPr>
            <w:tcW w:type="dxa" w:w="510"/>
          </w:tcPr>
          <w:p>
            <w:r/>
            <w:r>
              <w:rPr>
                <w:sz w:val="18"/>
              </w:rPr>
              <w:t>M20</w:t>
            </w:r>
          </w:p>
        </w:tc>
        <w:tc>
          <w:tcPr>
            <w:tcW w:type="dxa" w:w="1474"/>
          </w:tcPr>
          <w:p>
            <w:r/>
            <w:r>
              <w:rPr>
                <w:sz w:val="18"/>
              </w:rPr>
              <w:t>Cap. 7 — Resultados y evaluación</w:t>
            </w:r>
          </w:p>
        </w:tc>
        <w:tc>
          <w:tcPr>
            <w:tcW w:type="dxa" w:w="1701"/>
          </w:tcPr>
          <w:p>
            <w:r/>
            <w:r>
              <w:rPr>
                <w:sz w:val="18"/>
              </w:rPr>
              <w:t>7.10 Trabajo futuro</w:t>
            </w:r>
          </w:p>
        </w:tc>
        <w:tc>
          <w:tcPr>
            <w:tcW w:type="dxa" w:w="4309"/>
          </w:tcPr>
          <w:p>
            <w:r/>
            <w:r>
              <w:rPr>
                <w:sz w:val="18"/>
              </w:rPr>
              <w:t>Quedan como líneas de trabajo futuro, fuera del alcance de este TFM: ampliar el guiado a varios destinos (un gesto o un código QR por destino, objetivo 5 completo); una maniobra de despegue previa cuando la localización sitúa al robot junto a un obstáculo antes de pedir ruta a Nav2; repetir los escenarios de parada y oclusión con más muestras; y evaluar el sistema con más personas, entornos e iluminación distintos.</w:t>
            </w:r>
          </w:p>
        </w:tc>
        <w:tc>
          <w:tcPr>
            <w:tcW w:type="dxa" w:w="1644"/>
          </w:tcPr>
          <w:p>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tc>
      </w:tr>
    </w:tbl>
    <w:p>
      <w:pPr>
        <w:spacing w:after="80"/>
      </w:pPr>
      <w:r>
        <w:rPr>
          <w:i/>
          <w:sz w:val="21"/>
        </w:rPr>
        <w:t>C2. Frases con dos o más incisos entre guiones largos (prioridad alta)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Frase actual</w:t>
            </w:r>
          </w:p>
        </w:tc>
        <w:tc>
          <w:tcPr>
            <w:tcW w:type="dxa" w:w="1644"/>
            <w:shd w:val="clear" w:color="auto" w:fill="E3EEEC"/>
          </w:tcPr>
          <w:p>
            <w:r/>
            <w:r>
              <w:rPr>
                <w:b/>
                <w:sz w:val="19"/>
              </w:rPr>
              <w:t>Tu versión</w:t>
            </w:r>
          </w:p>
        </w:tc>
      </w:tr>
      <w:tr>
        <w:tc>
          <w:tcPr>
            <w:tcW w:type="dxa" w:w="510"/>
          </w:tcPr>
          <w:p>
            <w:r/>
            <w:r>
              <w:rPr>
                <w:sz w:val="18"/>
              </w:rPr>
              <w:t>G1</w:t>
            </w:r>
          </w:p>
        </w:tc>
        <w:tc>
          <w:tcPr>
            <w:tcW w:type="dxa" w:w="1474"/>
          </w:tcPr>
          <w:p>
            <w:r/>
            <w:r>
              <w:rPr>
                <w:sz w:val="18"/>
              </w:rPr>
              <w:t>Cap. 3 — Uso de herramientas de intelig</w:t>
            </w:r>
          </w:p>
        </w:tc>
        <w:tc>
          <w:tcPr>
            <w:tcW w:type="dxa" w:w="1701"/>
          </w:tcPr>
          <w:p>
            <w:r/>
            <w:r>
              <w:rPr>
                <w:sz w:val="18"/>
              </w:rPr>
              <w:t>3.2 Herramientas utilizadas</w:t>
            </w:r>
          </w:p>
        </w:tc>
        <w:tc>
          <w:tcPr>
            <w:tcW w:type="dxa" w:w="4309"/>
          </w:tcPr>
          <w:p>
            <w:r/>
            <w:r>
              <w:rPr>
                <w:sz w:val="18"/>
              </w:rPr>
              <w:t>El asistente no tomó decisiones de diseño —arquitectura, algoritmos o parámetros—, no realizó pruebas experimentales ni interpretó resultados, y no redactó el estado del arte ni las conclusiones del TFM.</w:t>
            </w:r>
          </w:p>
        </w:tc>
        <w:tc>
          <w:tcPr>
            <w:tcW w:type="dxa" w:w="1644"/>
          </w:tcPr>
          <w:p>
            <w:r>
              <w:t>El asistente no tomó decisiones de diseño (arquitectura, algoritmos o parámetros), no hizo pruebas ni interpretó resultados. ⚠ Quité “no redactó el estado del arte ni las conclusiones” porque el punto 9 dice que ya no es exacto. Lo reescribimos junto con la declaración de IA.</w:t>
            </w:r>
          </w:p>
        </w:tc>
      </w:tr>
      <w:tr>
        <w:tc>
          <w:tcPr>
            <w:tcW w:type="dxa" w:w="510"/>
          </w:tcPr>
          <w:p>
            <w:r/>
            <w:r>
              <w:rPr>
                <w:sz w:val="18"/>
              </w:rPr>
              <w:t>G2</w:t>
            </w:r>
          </w:p>
        </w:tc>
        <w:tc>
          <w:tcPr>
            <w:tcW w:type="dxa" w:w="1474"/>
          </w:tcPr>
          <w:p>
            <w:r/>
            <w:r>
              <w:rPr>
                <w:sz w:val="18"/>
              </w:rPr>
              <w:t>Cap. 5 — Estado del arte</w:t>
            </w:r>
          </w:p>
        </w:tc>
        <w:tc>
          <w:tcPr>
            <w:tcW w:type="dxa" w:w="1701"/>
          </w:tcPr>
          <w:p>
            <w:r/>
            <w:r>
              <w:rPr>
                <w:sz w:val="18"/>
              </w:rPr>
              <w:t>5.1 Introducción y alcance del capítulo</w:t>
            </w:r>
          </w:p>
        </w:tc>
        <w:tc>
          <w:tcPr>
            <w:tcW w:type="dxa" w:w="4309"/>
          </w:tcPr>
          <w:p>
            <w:r/>
            <w:r>
              <w:rPr>
                <w:sz w:val="18"/>
              </w:rP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tc>
        <w:tc>
          <w:tcPr>
            <w:tcW w:type="dxa" w:w="1644"/>
          </w:tcPr>
          <w:p>
            <w:r>
              <w:t>Este capítulo pone en contexto las decisiones del Capítulo 2. Repasa el trabajo previo de cada área: detección con LiDAR 2D, pose por visión, fusión sensorial, gestos, filtros bayesianos, evitación de obstáculos y SLAM/Nav2. No es una revisión exhaustiva, sino lo que nos sirvió para decidir.</w:t>
            </w:r>
          </w:p>
        </w:tc>
      </w:tr>
      <w:tr>
        <w:tc>
          <w:tcPr>
            <w:tcW w:type="dxa" w:w="510"/>
          </w:tcPr>
          <w:p>
            <w:r/>
            <w:r>
              <w:rPr>
                <w:sz w:val="18"/>
              </w:rPr>
              <w:t>G3</w:t>
            </w:r>
          </w:p>
        </w:tc>
        <w:tc>
          <w:tcPr>
            <w:tcW w:type="dxa" w:w="1474"/>
          </w:tcPr>
          <w:p>
            <w:r/>
            <w:r>
              <w:rPr>
                <w:sz w:val="18"/>
              </w:rPr>
              <w:t>Cap. 5 — Estado del arte</w:t>
            </w:r>
          </w:p>
        </w:tc>
        <w:tc>
          <w:tcPr>
            <w:tcW w:type="dxa" w:w="1701"/>
          </w:tcPr>
          <w:p>
            <w:r/>
            <w:r>
              <w:rPr>
                <w:sz w:val="18"/>
              </w:rPr>
              <w:t>5.2 Sistemas de seguimiento de personas con robots móviles</w:t>
            </w:r>
          </w:p>
        </w:tc>
        <w:tc>
          <w:tcPr>
            <w:tcW w:type="dxa" w:w="4309"/>
          </w:tcPr>
          <w:p>
            <w:r/>
            <w:r>
              <w:rPr>
                <w:sz w:val="18"/>
              </w:rPr>
              <w:t>Los robots de esta familia suelen operar sobre bases diferenciales de interior —como el TurtleBot 2/Kobuki de este TFM—, donde la percepción domina sobre la cinemática; en bases Ackermann exteriores (Li et al., 2025) la maniobrabilidad limitada añade restricciones que no aplican aquí.</w:t>
            </w:r>
          </w:p>
        </w:tc>
        <w:tc>
          <w:tcPr>
            <w:tcW w:type="dxa" w:w="1644"/>
          </w:tcPr>
          <w:p>
            <w:r>
              <w:t>Estos robots suelen moverse en interiores sobre bases diferenciales, como el TurtleBot 2/Kobuki de este TFM. Ahí manda la percepción más que la cinemática. En bases Ackermann para exterior (Li et al., 2026), la poca maniobrabilidad impone restricciones que aquí no aplican. (Ojo: la memoria ya dice 2026, no 2025.)</w:t>
            </w:r>
          </w:p>
        </w:tc>
      </w:tr>
      <w:tr>
        <w:tc>
          <w:tcPr>
            <w:tcW w:type="dxa" w:w="510"/>
          </w:tcPr>
          <w:p>
            <w:r/>
            <w:r>
              <w:rPr>
                <w:sz w:val="18"/>
              </w:rPr>
              <w:t>G4</w:t>
            </w:r>
          </w:p>
        </w:tc>
        <w:tc>
          <w:tcPr>
            <w:tcW w:type="dxa" w:w="1474"/>
          </w:tcPr>
          <w:p>
            <w:r/>
            <w:r>
              <w:rPr>
                <w:sz w:val="18"/>
              </w:rPr>
              <w:t>Cap. 5 — Estado del arte</w:t>
            </w:r>
          </w:p>
        </w:tc>
        <w:tc>
          <w:tcPr>
            <w:tcW w:type="dxa" w:w="1701"/>
          </w:tcPr>
          <w:p>
            <w:r/>
            <w:r>
              <w:rPr>
                <w:sz w:val="18"/>
              </w:rPr>
              <w:t>5.4 Estimación de pose humana por visión</w:t>
            </w:r>
          </w:p>
        </w:tc>
        <w:tc>
          <w:tcPr>
            <w:tcW w:type="dxa" w:w="4309"/>
          </w:tcPr>
          <w:p>
            <w:r/>
            <w:r>
              <w:rPr>
                <w:sz w:val="18"/>
              </w:rPr>
              <w:t>Frente a HOG, empleado en la versión original, los modelos por landmarks tienen dos ventajas: no requieren el cuerpo completo encuadrado —inviable a ~1 m—, y dan puntos anatómicos (muñeca, hombro) directamente usables para gestos y orientación, no una simple caja delimitadora.</w:t>
            </w:r>
          </w:p>
        </w:tc>
        <w:tc>
          <w:tcPr>
            <w:tcW w:type="dxa" w:w="1644"/>
          </w:tcPr>
          <w:p>
            <w:r>
              <w:t>Comparado con HOG, que usaba la versión original, los modelos por landmarks ganan en dos cosas. Por un lado, no necesitan ver el cuerpo entero encuadrado, y a ~1 m eso no era posible. Por otro, dan puntos como la muñeca o el hombro, que sirven directamente para gestos y orientación. Una caja delimitadora no da eso.</w:t>
            </w:r>
          </w:p>
        </w:tc>
      </w:tr>
      <w:tr>
        <w:tc>
          <w:tcPr>
            <w:tcW w:type="dxa" w:w="510"/>
          </w:tcPr>
          <w:p>
            <w:r/>
            <w:r>
              <w:rPr>
                <w:sz w:val="18"/>
              </w:rPr>
              <w:t>G5</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Los enfoques van desde visión-LiDAR 360° (Li et al., 2025) hasta fusión profunda —el transformador de Minase y Tanaka (2026) para LiDAR e imagen térmica—, y confirman que la fusión mejora la robustez frente a una sola modalidad.</w:t>
            </w:r>
          </w:p>
        </w:tc>
        <w:tc>
          <w:tcPr>
            <w:tcW w:type="dxa" w:w="1644"/>
          </w:tcPr>
          <w:p>
            <w:r>
              <w:t>Hay de todo, desde visión con LiDAR 360° (Li et al., 2026) hasta fusión con aprendizaje profundo, como el transformador de Minase y Tanaka (2026) para LiDAR e imagen térmica. Estos trabajos apuntan a que fusionar mejora la robustez frente a una sola modalidad.</w:t>
            </w:r>
          </w:p>
        </w:tc>
      </w:tr>
      <w:tr>
        <w:tc>
          <w:tcPr>
            <w:tcW w:type="dxa" w:w="510"/>
          </w:tcPr>
          <w:p>
            <w:r/>
            <w:r>
              <w:rPr>
                <w:sz w:val="18"/>
              </w:rPr>
              <w:t>G6</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Esta asimetría es deliberada: evita depender de una calibración extrínseca precisa cámara-LiDAR —solo el campo de visión horizontal y un signo de calibración— a cambio de no aprovechar la cámara cuando el LiDAR sí detecta piernas.</w:t>
            </w:r>
          </w:p>
        </w:tc>
        <w:tc>
          <w:tcPr>
            <w:tcW w:type="dxa" w:w="1644"/>
          </w:tcPr>
          <w:p>
            <w:r>
              <w:t>Esta asimetría es a propósito. Así no dependemos de una calibración precisa entre cámara y LiDAR: solo hace falta el campo de visión horizontal y un signo de calibración. El precio es que la cámara no se aprovecha cuando el LiDAR sí ve piernas.</w:t>
            </w:r>
          </w:p>
        </w:tc>
      </w:tr>
      <w:tr>
        <w:tc>
          <w:tcPr>
            <w:tcW w:type="dxa" w:w="510"/>
          </w:tcPr>
          <w:p>
            <w:r/>
            <w:r>
              <w:rPr>
                <w:sz w:val="18"/>
              </w:rPr>
              <w:t>G7</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La pérdida simultánea en los giros —ambas modalidades comparten el mismo punto ciego frontal— es una limitación conocida y sigue abierta.</w:t>
            </w:r>
          </w:p>
        </w:tc>
        <w:tc>
          <w:tcPr>
            <w:tcW w:type="dxa" w:w="1644"/>
          </w:tcPr>
          <w:p>
            <w:r>
              <w:t>Las dos modalidades tienen el mismo punto ciego delante, así que en los giros pueden perder a la persona a la vez. Es una limitación conocida, y sigue abierta.</w:t>
            </w:r>
          </w:p>
        </w:tc>
      </w:tr>
      <w:tr>
        <w:tc>
          <w:tcPr>
            <w:tcW w:type="dxa" w:w="510"/>
          </w:tcPr>
          <w:p>
            <w:r/>
            <w:r>
              <w:rPr>
                <w:sz w:val="18"/>
              </w:rPr>
              <w:t>G8</w:t>
            </w:r>
          </w:p>
        </w:tc>
        <w:tc>
          <w:tcPr>
            <w:tcW w:type="dxa" w:w="1474"/>
          </w:tcPr>
          <w:p>
            <w:r/>
            <w:r>
              <w:rPr>
                <w:sz w:val="18"/>
              </w:rPr>
              <w:t>Cap. 5 — Estado del arte</w:t>
            </w:r>
          </w:p>
        </w:tc>
        <w:tc>
          <w:tcPr>
            <w:tcW w:type="dxa" w:w="1701"/>
          </w:tcPr>
          <w:p>
            <w:r/>
            <w:r>
              <w:rPr>
                <w:sz w:val="18"/>
              </w:rPr>
              <w:t>5.6 Interacción humano-robot basada en gestos</w:t>
            </w:r>
          </w:p>
        </w:tc>
        <w:tc>
          <w:tcPr>
            <w:tcW w:type="dxa" w:w="4309"/>
          </w:tcPr>
          <w:p>
            <w:r/>
            <w:r>
              <w:rPr>
                <w:sz w:val="18"/>
              </w:rPr>
              <w:t>El sistema sigue ese enfoque basado en reglas: dos gestos discretos —mano derecha para iniciar, izquierda para detener—, definidos como condiciones geométricas sobre landmarks de MediaPipe Pose, con confirmación por fotogramas y espera entre comandos (§2.3.2).</w:t>
            </w:r>
          </w:p>
        </w:tc>
        <w:tc>
          <w:tcPr>
            <w:tcW w:type="dxa" w:w="1644"/>
          </w:tcPr>
          <w:p>
            <w:r>
              <w:t>El sistema va por ahí, con reglas. Tiene dos gestos: mano derecha para empezar y mano izquierda para parar. Cada uno es una condición geométrica sobre los landmarks de MediaPipe Pose. Para que no se disparen por error, el gesto tiene que mantenerse varios fotogramas y hay una espera entre comandos (§2.3.2).</w:t>
            </w:r>
          </w:p>
        </w:tc>
      </w:tr>
      <w:tr>
        <w:tc>
          <w:tcPr>
            <w:tcW w:type="dxa" w:w="510"/>
          </w:tcPr>
          <w:p>
            <w:r/>
            <w:r>
              <w:rPr>
                <w:sz w:val="18"/>
              </w:rPr>
              <w:t>G9</w:t>
            </w:r>
          </w:p>
        </w:tc>
        <w:tc>
          <w:tcPr>
            <w:tcW w:type="dxa" w:w="1474"/>
          </w:tcPr>
          <w:p>
            <w:r/>
            <w:r>
              <w:rPr>
                <w:sz w:val="18"/>
              </w:rPr>
              <w:t>Cap. 5 — Estado del arte</w:t>
            </w:r>
          </w:p>
        </w:tc>
        <w:tc>
          <w:tcPr>
            <w:tcW w:type="dxa" w:w="1701"/>
          </w:tcPr>
          <w:p>
            <w:r/>
            <w:r>
              <w:rPr>
                <w:sz w:val="18"/>
              </w:rPr>
              <w:t>5.7 Seguimiento de estado: filtros bayesianos</w:t>
            </w:r>
          </w:p>
        </w:tc>
        <w:tc>
          <w:tcPr>
            <w:tcW w:type="dxa" w:w="4309"/>
          </w:tcPr>
          <w:p>
            <w:r/>
            <w:r>
              <w:rPr>
                <w:sz w:val="18"/>
              </w:rPr>
              <w:t>La familia de filtros de Bayes —Kalman, EKF, UKF, partículas— es el enfoque estándar en seguimiento de personas desde hace más de dos décadas (Urrea y Agramonte, 2021).</w:t>
            </w:r>
          </w:p>
        </w:tc>
        <w:tc>
          <w:tcPr>
            <w:tcW w:type="dxa" w:w="1644"/>
          </w:tcPr>
          <w:p>
            <w:r>
              <w:t>Los filtros bayesianos (Kalman, EKF, UKF y de partículas) son el enfoque de siempre para seguir personas, y lo llevan siendo más de dos décadas (Urrea &amp; Agramonte, 2021).</w:t>
            </w:r>
          </w:p>
        </w:tc>
      </w:tr>
      <w:tr>
        <w:tc>
          <w:tcPr>
            <w:tcW w:type="dxa" w:w="510"/>
          </w:tcPr>
          <w:p>
            <w:r/>
            <w:r>
              <w:rPr>
                <w:sz w:val="18"/>
              </w:rPr>
              <w:t>G10</w:t>
            </w:r>
          </w:p>
        </w:tc>
        <w:tc>
          <w:tcPr>
            <w:tcW w:type="dxa" w:w="1474"/>
          </w:tcPr>
          <w:p>
            <w:r/>
            <w:r>
              <w:rPr>
                <w:sz w:val="18"/>
              </w:rPr>
              <w:t>Cap. 5 — Estado del arte</w:t>
            </w:r>
          </w:p>
        </w:tc>
        <w:tc>
          <w:tcPr>
            <w:tcW w:type="dxa" w:w="1701"/>
          </w:tcPr>
          <w:p>
            <w:r/>
            <w:r>
              <w:rPr>
                <w:sz w:val="18"/>
              </w:rPr>
              <w:t>5.8 Evitación de obstáculos y control de movimiento</w:t>
            </w:r>
          </w:p>
        </w:tc>
        <w:tc>
          <w:tcPr>
            <w:tcW w:type="dxa" w:w="4309"/>
          </w:tcPr>
          <w:p>
            <w:r/>
            <w:r>
              <w:rPr>
                <w:sz w:val="18"/>
              </w:rPr>
              <w:t>El nodo de seguimiento implementa una evitación inspirada en la misma idea —repulsión angular y reducción de velocidad ante obstáculos cercanos (§2.3.3)—, simplificada frente al DWA completo: no simula trayectorias, aplica una regla reactiva sobre el sector frontal.</w:t>
            </w:r>
          </w:p>
        </w:tc>
        <w:tc>
          <w:tcPr>
            <w:tcW w:type="dxa" w:w="1644"/>
          </w:tcPr>
          <w:p>
            <w:r>
              <w:t>El nodo de seguimiento evita obstáculos con la misma idea: se aleja en ángulo y frena cuando hay algo cerca (§2.3.3). Es una versión más simple que el DWA completo. No simula trayectorias, solo aplica una regla reactiva sobre el sector de delante.</w:t>
            </w:r>
          </w:p>
        </w:tc>
      </w:tr>
      <w:tr>
        <w:tc>
          <w:tcPr>
            <w:tcW w:type="dxa" w:w="510"/>
          </w:tcPr>
          <w:p>
            <w:r/>
            <w:r>
              <w:rPr>
                <w:sz w:val="18"/>
              </w:rPr>
              <w:t>G11</w:t>
            </w:r>
          </w:p>
        </w:tc>
        <w:tc>
          <w:tcPr>
            <w:tcW w:type="dxa" w:w="1474"/>
          </w:tcPr>
          <w:p>
            <w:r/>
            <w:r>
              <w:rPr>
                <w:sz w:val="18"/>
              </w:rPr>
              <w:t>Cap. 5 — Estado del arte</w:t>
            </w:r>
          </w:p>
        </w:tc>
        <w:tc>
          <w:tcPr>
            <w:tcW w:type="dxa" w:w="1701"/>
          </w:tcPr>
          <w:p>
            <w:r/>
            <w:r>
              <w:rPr>
                <w:sz w:val="18"/>
              </w:rPr>
              <w:t>5.9 Cartografía y navegación autónoma (SLAM y Nav2)</w:t>
            </w:r>
          </w:p>
        </w:tc>
        <w:tc>
          <w:tcPr>
            <w:tcW w:type="dxa" w:w="4309"/>
          </w:tcPr>
          <w:p>
            <w:r/>
            <w:r>
              <w:rPr>
                <w:sz w:val="18"/>
              </w:rPr>
              <w:t>El alcance de este TFM es una demostración mínima —AMCL sobre mapa guardado y navegación a un objetivo—, acotada frente a las capacidades completas de Nav2 por el número limitado de sesiones (§1.4).</w:t>
            </w:r>
          </w:p>
        </w:tc>
        <w:tc>
          <w:tcPr>
            <w:tcW w:type="dxa" w:w="1644"/>
          </w:tcPr>
          <w:p>
            <w:r>
              <w:t>Este TFM solo llega a una demostración mínima: AMCL sobre un mapa guardado y navegación a un objetivo. Nav2 puede bastante más, pero no tuvimos sesiones suficientes para probarlo (§1.4).</w:t>
            </w:r>
          </w:p>
        </w:tc>
      </w:tr>
      <w:tr>
        <w:tc>
          <w:tcPr>
            <w:tcW w:type="dxa" w:w="510"/>
          </w:tcPr>
          <w:p>
            <w:r/>
            <w:r>
              <w:rPr>
                <w:sz w:val="18"/>
              </w:rPr>
              <w:t>G12</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 sistema no introduce ningún método individualmente novedoso: cada subsistema —detección por clustering, MediaPipe Pose, fusión tardía LiDAR-cámara, Kalman lineal, evitación reactiva, SLAM Toolbox, Nav2— reutiliza técnicas establecidas.</w:t>
            </w:r>
          </w:p>
        </w:tc>
        <w:tc>
          <w:tcPr>
            <w:tcW w:type="dxa" w:w="1644"/>
          </w:tcPr>
          <w:p>
            <w:r>
              <w:t>Igual que M4 (misma frase). Ver propuesta M4.</w:t>
            </w:r>
          </w:p>
        </w:tc>
      </w:tr>
      <w:tr>
        <w:tc>
          <w:tcPr>
            <w:tcW w:type="dxa" w:w="510"/>
          </w:tcPr>
          <w:p>
            <w:r/>
            <w:r>
              <w:rPr>
                <w:sz w:val="18"/>
              </w:rPr>
              <w:t>G13</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t>Igual que M10 (misma frase). Ver propuesta M10.</w:t>
            </w:r>
          </w:p>
        </w:tc>
      </w:tr>
      <w:tr>
        <w:tc>
          <w:tcPr>
            <w:tcW w:type="dxa" w:w="510"/>
          </w:tcPr>
          <w:p>
            <w:r/>
            <w:r>
              <w:rPr>
                <w:sz w:val="18"/>
              </w:rPr>
              <w:t>G14</w:t>
            </w:r>
          </w:p>
        </w:tc>
        <w:tc>
          <w:tcPr>
            <w:tcW w:type="dxa" w:w="1474"/>
          </w:tcPr>
          <w:p>
            <w:r/>
            <w:r>
              <w:rPr>
                <w:sz w:val="18"/>
              </w:rPr>
              <w:t>Cap. 6 — Implementación</w:t>
            </w:r>
          </w:p>
        </w:tc>
        <w:tc>
          <w:tcPr>
            <w:tcW w:type="dxa" w:w="1701"/>
          </w:tcPr>
          <w:p>
            <w:r/>
            <w:r>
              <w:rPr>
                <w:sz w:val="18"/>
              </w:rPr>
              <w:t>6.1 Introducción y alcance</w:t>
            </w:r>
          </w:p>
        </w:tc>
        <w:tc>
          <w:tcPr>
            <w:tcW w:type="dxa" w:w="4309"/>
          </w:tcPr>
          <w:p>
            <w:r/>
            <w:r>
              <w:rPr>
                <w:sz w:val="18"/>
              </w:rPr>
              <w:t>Este capítulo documenta cómo está implementado cada nodo activo —algoritmos, estructuras de datos, fórmulas de control y decisiones de código— a partir del código fuente real.</w:t>
            </w:r>
          </w:p>
        </w:tc>
        <w:tc>
          <w:tcPr>
            <w:tcW w:type="dxa" w:w="1644"/>
          </w:tcPr>
          <w:p>
            <w:r>
              <w:t>Este capítulo cuenta cómo está hecho cada nodo activo: algoritmos, estructuras de datos, fórmulas de control y decisiones de código. Todo sale del código fuente real.</w:t>
            </w:r>
          </w:p>
        </w:tc>
      </w:tr>
      <w:tr>
        <w:tc>
          <w:tcPr>
            <w:tcW w:type="dxa" w:w="510"/>
          </w:tcPr>
          <w:p>
            <w:r/>
            <w:r>
              <w:rPr>
                <w:sz w:val="18"/>
              </w:rPr>
              <w:t>G15</w:t>
            </w:r>
          </w:p>
        </w:tc>
        <w:tc>
          <w:tcPr>
            <w:tcW w:type="dxa" w:w="1474"/>
          </w:tcPr>
          <w:p>
            <w:r/>
            <w:r>
              <w:rPr>
                <w:sz w:val="18"/>
              </w:rPr>
              <w:t>Cap. 6 — Implementación</w:t>
            </w:r>
          </w:p>
        </w:tc>
        <w:tc>
          <w:tcPr>
            <w:tcW w:type="dxa" w:w="1701"/>
          </w:tcPr>
          <w:p>
            <w:r/>
            <w:r>
              <w:rPr>
                <w:sz w:val="18"/>
              </w:rPr>
              <w:t>6.3 detection_node — clustering, características de pierna y filtrado temporal</w:t>
            </w:r>
          </w:p>
        </w:tc>
        <w:tc>
          <w:tcPr>
            <w:tcW w:type="dxa" w:w="4309"/>
          </w:tcPr>
          <w:p>
            <w:r/>
            <w:r>
              <w:rPr>
                <w:sz w:val="18"/>
              </w:rPr>
              <w:t>Sigue la semántica estándar —un punto es núcleo si tiene un mínimo de vecinos en un radio—, con consulta por radio y expansión por búsqueda en anchura; el coste computacional es despreciable para los cientos de puntos de un barrido filtrado.</w:t>
            </w:r>
          </w:p>
        </w:tc>
        <w:tc>
          <w:tcPr>
            <w:tcW w:type="dxa" w:w="1644"/>
          </w:tcPr>
          <w:p>
            <w:r>
              <w:t>Sigue la semántica de siempre: un punto es núcleo si tiene suficientes vecinos dentro de un radio. La consulta es por radio y la expansión por búsqueda en anchura. Con los cientos de puntos de un barrido filtrado, el coste es despreciable.</w:t>
            </w:r>
          </w:p>
        </w:tc>
      </w:tr>
      <w:tr>
        <w:tc>
          <w:tcPr>
            <w:tcW w:type="dxa" w:w="510"/>
          </w:tcPr>
          <w:p>
            <w:r/>
            <w:r>
              <w:rPr>
                <w:sz w:val="18"/>
              </w:rPr>
              <w:t>G16</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Aunque la documentación original etiquetaba este bloque como Kalman + DWA, tracking_node no implementa un DWA real —simular trayectorias en el espacio de velocidades (§5.8)—, implementación que existe en un fichero separado no registrado (§6.11).</w:t>
            </w:r>
          </w:p>
        </w:tc>
        <w:tc>
          <w:tcPr>
            <w:tcW w:type="dxa" w:w="1644"/>
          </w:tcPr>
          <w:p>
            <w:r>
              <w:t>La documentación original decía Kalman + DWA para este bloque, pero tracking_node no tiene un DWA de verdad, que simularía trayectorias en el espacio de velocidades (§5.8). Esa implementación existe, pero está en un fichero separado que no se registra (§6.11).</w:t>
            </w:r>
          </w:p>
        </w:tc>
      </w:tr>
      <w:tr>
        <w:tc>
          <w:tcPr>
            <w:tcW w:type="dxa" w:w="510"/>
          </w:tcPr>
          <w:p>
            <w:r/>
            <w:r>
              <w:rPr>
                <w:sz w:val="18"/>
              </w:rPr>
              <w:t>G17</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La fórmula original nunca reducía la velocidad a cero —un límite inferior que era código muerto (§4.3, §7.6)—, por lo que el robot nunca frenaba del todo ante un obstáculo sostenido, causando dos contactos leves.</w:t>
            </w:r>
          </w:p>
        </w:tc>
        <w:tc>
          <w:tcPr>
            <w:tcW w:type="dxa" w:w="1644"/>
          </w:tcPr>
          <w:p>
            <w:r>
              <w:t>La fórmula original nunca bajaba la velocidad a cero, y el límite inferior que tenía era código muerto (§4.3, §7.6). Por eso, ante un obstáculo que seguía ahí, el robot nunca llegaba a frenar del todo, y eso provocó dos contactos leves.</w:t>
            </w:r>
          </w:p>
        </w:tc>
      </w:tr>
    </w:tbl>
    <w:p>
      <w:pPr>
        <w:spacing w:after="80"/>
      </w:pPr>
      <w:r>
        <w:rPr>
          <w:i/>
          <w:sz w:val="21"/>
        </w:rPr>
        <w:t>C3. Frases con muletillas (“resulta”, “permite”, “relevante”, “clave”, “robusto”, “pragmático”) (prioridad media)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Frase actual</w:t>
            </w:r>
          </w:p>
        </w:tc>
        <w:tc>
          <w:tcPr>
            <w:tcW w:type="dxa" w:w="1644"/>
            <w:shd w:val="clear" w:color="auto" w:fill="E3EEEC"/>
          </w:tcPr>
          <w:p>
            <w:r/>
            <w:r>
              <w:rPr>
                <w:b/>
                <w:sz w:val="19"/>
              </w:rPr>
              <w:t>Tu versión</w:t>
            </w:r>
          </w:p>
        </w:tc>
      </w:tr>
      <w:tr>
        <w:tc>
          <w:tcPr>
            <w:tcW w:type="dxa" w:w="510"/>
          </w:tcPr>
          <w:p>
            <w:r/>
            <w:r>
              <w:rPr>
                <w:sz w:val="18"/>
              </w:rPr>
              <w:t>W1</w:t>
            </w:r>
          </w:p>
        </w:tc>
        <w:tc>
          <w:tcPr>
            <w:tcW w:type="dxa" w:w="1474"/>
          </w:tcPr>
          <w:p>
            <w:r/>
            <w:r>
              <w:rPr>
                <w:sz w:val="18"/>
              </w:rPr>
              <w:t>Cap. 1 — Introducción y planteamiento d</w:t>
            </w:r>
          </w:p>
        </w:tc>
        <w:tc>
          <w:tcPr>
            <w:tcW w:type="dxa" w:w="1701"/>
          </w:tcPr>
          <w:p>
            <w:r/>
            <w:r>
              <w:rPr>
                <w:sz w:val="18"/>
              </w:rPr>
              <w:t>1.5 Estructura de la memoria</w:t>
            </w:r>
          </w:p>
        </w:tc>
        <w:tc>
          <w:tcPr>
            <w:tcW w:type="dxa" w:w="4309"/>
          </w:tcPr>
          <w:p>
            <w:r/>
            <w:r>
              <w:rPr>
                <w:sz w:val="18"/>
              </w:rPr>
              <w:t>Capítulo 7 — Resultados y evaluación: análisis de los datos experimentales de la validación.</w:t>
            </w:r>
          </w:p>
        </w:tc>
        <w:tc>
          <w:tcPr>
            <w:tcW w:type="dxa" w:w="1644"/>
          </w:tcPr>
          <w:p>
            <w:r>
              <w:t>Capítulo 7, Resultados: lo que sale de las pruebas de validación.</w:t>
            </w:r>
          </w:p>
        </w:tc>
      </w:tr>
      <w:tr>
        <w:tc>
          <w:tcPr>
            <w:tcW w:type="dxa" w:w="510"/>
          </w:tcPr>
          <w:p>
            <w:r/>
            <w:r>
              <w:rPr>
                <w:sz w:val="18"/>
              </w:rPr>
              <w:t>W2</w:t>
            </w:r>
          </w:p>
        </w:tc>
        <w:tc>
          <w:tcPr>
            <w:tcW w:type="dxa" w:w="1474"/>
          </w:tcPr>
          <w:p>
            <w:r/>
            <w:r>
              <w:rPr>
                <w:sz w:val="18"/>
              </w:rPr>
              <w:t>Cap. 2 — Arquitectura del sistema</w:t>
            </w:r>
          </w:p>
        </w:tc>
        <w:tc>
          <w:tcPr>
            <w:tcW w:type="dxa" w:w="1701"/>
          </w:tcPr>
          <w:p>
            <w:r/>
            <w:r>
              <w:rPr>
                <w:sz w:val="18"/>
              </w:rPr>
              <w:t>2.1 Visión general</w:t>
            </w:r>
          </w:p>
        </w:tc>
        <w:tc>
          <w:tcPr>
            <w:tcW w:type="dxa" w:w="4309"/>
          </w:tcPr>
          <w:p>
            <w:r/>
            <w:r>
              <w:rPr>
                <w:sz w:val="18"/>
              </w:rPr>
              <w:t>Esta arquitectura desacoplada permite activar o desactivar nodos, sustituir módulos —p.</w:t>
            </w:r>
          </w:p>
        </w:tc>
        <w:tc>
          <w:tcPr>
            <w:tcW w:type="dxa" w:w="1644"/>
          </w:tcPr>
          <w:p>
            <w:r>
              <w:t>Los nodos son independientes y se comunican solo por el bus de mensajes (DDS). Eso nos deja activar o desactivar nodos, cambiar un módulo (por ejemplo, el detector de personas) sin reescribir todo, y ejecutar solo una parte del sistema mientras desarrollamos.</w:t>
            </w:r>
          </w:p>
        </w:tc>
      </w:tr>
      <w:tr>
        <w:tc>
          <w:tcPr>
            <w:tcW w:type="dxa" w:w="510"/>
          </w:tcPr>
          <w:p>
            <w:r/>
            <w:r>
              <w:rPr>
                <w:sz w:val="18"/>
              </w:rPr>
              <w:t>W3</w:t>
            </w:r>
          </w:p>
        </w:tc>
        <w:tc>
          <w:tcPr>
            <w:tcW w:type="dxa" w:w="1474"/>
          </w:tcPr>
          <w:p>
            <w:r/>
            <w:r>
              <w:rPr>
                <w:sz w:val="18"/>
              </w:rPr>
              <w:t>Cap. 2 — Arquitectura del sistema</w:t>
            </w:r>
          </w:p>
        </w:tc>
        <w:tc>
          <w:tcPr>
            <w:tcW w:type="dxa" w:w="1701"/>
          </w:tcPr>
          <w:p>
            <w:r/>
            <w:r>
              <w:rPr>
                <w:sz w:val="18"/>
              </w:rPr>
              <w:t>2.3 Descripción de cada nodo</w:t>
            </w:r>
          </w:p>
        </w:tc>
        <w:tc>
          <w:tcPr>
            <w:tcW w:type="dxa" w:w="4309"/>
          </w:tcPr>
          <w:p>
            <w:r/>
            <w:r>
              <w:rPr>
                <w:sz w:val="18"/>
              </w:rPr>
              <w:t>Sustituida en la Fase 2 por SLAM Toolbox (mayor robustez, cierre de bucles y serialización de mapas); se mantiene desactivado por defecto.</w:t>
            </w:r>
          </w:p>
        </w:tc>
        <w:tc>
          <w:tcPr>
            <w:tcW w:type="dxa" w:w="1644"/>
          </w:tcPr>
          <w:p>
            <w:r>
              <w:t>En la Fase 2, SLAM Toolbox sustituyó a este nodo. Ganamos robustez, cierre de bucles y poder guardar los mapas. El nodo se queda desactivado por defecto.</w:t>
            </w:r>
          </w:p>
        </w:tc>
      </w:tr>
      <w:tr>
        <w:tc>
          <w:tcPr>
            <w:tcW w:type="dxa" w:w="510"/>
          </w:tcPr>
          <w:p>
            <w:r/>
            <w:r>
              <w:rPr>
                <w:sz w:val="18"/>
              </w:rPr>
              <w:t>W4</w:t>
            </w:r>
          </w:p>
        </w:tc>
        <w:tc>
          <w:tcPr>
            <w:tcW w:type="dxa" w:w="1474"/>
          </w:tcPr>
          <w:p>
            <w:r/>
            <w:r>
              <w:rPr>
                <w:sz w:val="18"/>
              </w:rPr>
              <w:t>Cap. 2 — Arquitectura del sistema</w:t>
            </w:r>
          </w:p>
        </w:tc>
        <w:tc>
          <w:tcPr>
            <w:tcW w:type="dxa" w:w="1701"/>
          </w:tcPr>
          <w:p>
            <w:r/>
            <w:r>
              <w:rPr>
                <w:sz w:val="18"/>
              </w:rPr>
              <w:t>2.6 Parámetros de configuración</w:t>
            </w:r>
          </w:p>
        </w:tc>
        <w:tc>
          <w:tcPr>
            <w:tcW w:type="dxa" w:w="4309"/>
          </w:tcPr>
          <w:p>
            <w:r/>
            <w:r>
              <w:rPr>
                <w:sz w:val="18"/>
              </w:rPr>
              <w:t>Todos los parámetros ajustables se centralizan en un archivo de configuración común, que permite modificar umbrales, distancias de seguridad y comportamientos sin recompilar.</w:t>
            </w:r>
          </w:p>
        </w:tc>
        <w:tc>
          <w:tcPr>
            <w:tcW w:type="dxa" w:w="1644"/>
          </w:tcPr>
          <w:p>
            <w:r>
              <w:t>Todos los parámetros ajustables están en un solo archivo de configuración. Así cambiamos umbrales, distancias de seguridad o comportamientos sin volver a compilar.</w:t>
            </w:r>
          </w:p>
        </w:tc>
      </w:tr>
      <w:tr>
        <w:tc>
          <w:tcPr>
            <w:tcW w:type="dxa" w:w="510"/>
          </w:tcPr>
          <w:p>
            <w:r/>
            <w:r>
              <w:rPr>
                <w:sz w:val="18"/>
              </w:rPr>
              <w:t>W5</w:t>
            </w:r>
          </w:p>
        </w:tc>
        <w:tc>
          <w:tcPr>
            <w:tcW w:type="dxa" w:w="1474"/>
          </w:tcPr>
          <w:p>
            <w:r/>
            <w:r>
              <w:rPr>
                <w:sz w:val="18"/>
              </w:rPr>
              <w:t>Cap. 3 — Uso de herramientas de intelig</w:t>
            </w:r>
          </w:p>
        </w:tc>
        <w:tc>
          <w:tcPr>
            <w:tcW w:type="dxa" w:w="1701"/>
          </w:tcPr>
          <w:p>
            <w:r/>
            <w:r>
              <w:rPr>
                <w:sz w:val="18"/>
              </w:rPr>
              <w:t>3.1 Declaración de uso</w:t>
            </w:r>
          </w:p>
        </w:tc>
        <w:tc>
          <w:tcPr>
            <w:tcW w:type="dxa" w:w="4309"/>
          </w:tcPr>
          <w:p>
            <w:r/>
            <w:r>
              <w:rPr>
                <w:sz w:val="18"/>
              </w:rP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tc>
        <w:tc>
          <w:tcPr>
            <w:tcW w:type="dxa" w:w="1644"/>
          </w:tcPr>
          <w:p>
            <w:r>
              <w:t>Muchas universidades ya reconocen que estas herramientas sirven para aprender y para ganar productividad, siempre que el estudiante siga siendo el autor: entender el problema, decidir el diseño, validar en el robot y, sobre todo, interpretar los resultados. ⚠ “Muchas universidades” no tiene fuente: cítala o quítalo. Esta frase va con la declaración de IA (punto 9).</w:t>
            </w:r>
          </w:p>
        </w:tc>
      </w:tr>
      <w:tr>
        <w:tc>
          <w:tcPr>
            <w:tcW w:type="dxa" w:w="510"/>
          </w:tcPr>
          <w:p>
            <w:r/>
            <w:r>
              <w:rPr>
                <w:sz w:val="18"/>
              </w:rPr>
              <w:t>W6</w:t>
            </w:r>
          </w:p>
        </w:tc>
        <w:tc>
          <w:tcPr>
            <w:tcW w:type="dxa" w:w="1474"/>
          </w:tcPr>
          <w:p>
            <w:r/>
            <w:r>
              <w:rPr>
                <w:sz w:val="18"/>
              </w:rPr>
              <w:t>Cap. 3 — Uso de herramientas de intelig</w:t>
            </w:r>
          </w:p>
        </w:tc>
        <w:tc>
          <w:tcPr>
            <w:tcW w:type="dxa" w:w="1701"/>
          </w:tcPr>
          <w:p>
            <w:r/>
            <w:r>
              <w:rPr>
                <w:sz w:val="18"/>
              </w:rPr>
              <w:t>3.2 Herramientas utilizadas</w:t>
            </w:r>
          </w:p>
        </w:tc>
        <w:tc>
          <w:tcPr>
            <w:tcW w:type="dxa" w:w="4309"/>
          </w:tcPr>
          <w:p>
            <w:r/>
            <w:r>
              <w:rPr>
                <w:sz w:val="18"/>
              </w:rPr>
              <w:t>El asistente no tomó decisiones de diseño —arquitectura, algoritmos o parámetros—, no realizó pruebas experimentales ni interpretó resultados, y no redactó el estado del arte ni las conclusiones del TFM.</w:t>
            </w:r>
          </w:p>
        </w:tc>
        <w:tc>
          <w:tcPr>
            <w:tcW w:type="dxa" w:w="1644"/>
          </w:tcPr>
          <w:p>
            <w:r>
              <w:t>Igual que G1 (misma frase). Ver propuesta G1.</w:t>
            </w:r>
          </w:p>
        </w:tc>
      </w:tr>
      <w:tr>
        <w:tc>
          <w:tcPr>
            <w:tcW w:type="dxa" w:w="510"/>
          </w:tcPr>
          <w:p>
            <w:r/>
            <w:r>
              <w:rPr>
                <w:sz w:val="18"/>
              </w:rPr>
              <w:t>W7</w:t>
            </w:r>
          </w:p>
        </w:tc>
        <w:tc>
          <w:tcPr>
            <w:tcW w:type="dxa" w:w="1474"/>
          </w:tcPr>
          <w:p>
            <w:r/>
            <w:r>
              <w:rPr>
                <w:sz w:val="18"/>
              </w:rPr>
              <w:t>Cap. 5 — Estado del arte</w:t>
            </w:r>
          </w:p>
        </w:tc>
        <w:tc>
          <w:tcPr>
            <w:tcW w:type="dxa" w:w="1701"/>
          </w:tcPr>
          <w:p>
            <w:r/>
            <w:r>
              <w:rPr>
                <w:sz w:val="18"/>
              </w:rPr>
              <w:t>5.1 Introducción y alcance del capítulo</w:t>
            </w:r>
          </w:p>
        </w:tc>
        <w:tc>
          <w:tcPr>
            <w:tcW w:type="dxa" w:w="4309"/>
          </w:tcPr>
          <w:p>
            <w:r/>
            <w:r>
              <w:rPr>
                <w:sz w:val="18"/>
              </w:rP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tc>
        <w:tc>
          <w:tcPr>
            <w:tcW w:type="dxa" w:w="1644"/>
          </w:tcPr>
          <w:p>
            <w:r>
              <w:t>Igual que G2 (misma frase). Ver propuesta G2.</w:t>
            </w:r>
          </w:p>
        </w:tc>
      </w:tr>
      <w:tr>
        <w:tc>
          <w:tcPr>
            <w:tcW w:type="dxa" w:w="510"/>
          </w:tcPr>
          <w:p>
            <w:r/>
            <w:r>
              <w:rPr>
                <w:sz w:val="18"/>
              </w:rPr>
              <w:t>W8</w:t>
            </w:r>
          </w:p>
        </w:tc>
        <w:tc>
          <w:tcPr>
            <w:tcW w:type="dxa" w:w="1474"/>
          </w:tcPr>
          <w:p>
            <w:r/>
            <w:r>
              <w:rPr>
                <w:sz w:val="18"/>
              </w:rPr>
              <w:t>Cap. 5 — Estado del arte</w:t>
            </w:r>
          </w:p>
        </w:tc>
        <w:tc>
          <w:tcPr>
            <w:tcW w:type="dxa" w:w="1701"/>
          </w:tcPr>
          <w:p>
            <w:r/>
            <w:r>
              <w:rPr>
                <w:sz w:val="18"/>
              </w:rPr>
              <w:t>5.2 Sistemas de seguimiento de personas con robots móviles</w:t>
            </w:r>
          </w:p>
        </w:tc>
        <w:tc>
          <w:tcPr>
            <w:tcW w:type="dxa" w:w="4309"/>
          </w:tcPr>
          <w:p>
            <w:r/>
            <w:r>
              <w:rPr>
                <w:sz w:val="18"/>
              </w:rPr>
              <w:t>Robusto ante iluminación variable, pero ambiguo ante objetos de geometría similar (patas de silla, columnas).</w:t>
            </w:r>
          </w:p>
        </w:tc>
        <w:tc>
          <w:tcPr>
            <w:tcW w:type="dxa" w:w="1644"/>
          </w:tcPr>
          <w:p>
            <w:r>
              <w:t>Aguanta bien los cambios de luz, pero se confunde con objetos de forma parecida, como patas de silla o columnas.</w:t>
            </w:r>
          </w:p>
        </w:tc>
      </w:tr>
      <w:tr>
        <w:tc>
          <w:tcPr>
            <w:tcW w:type="dxa" w:w="510"/>
          </w:tcPr>
          <w:p>
            <w:r/>
            <w:r>
              <w:rPr>
                <w:sz w:val="18"/>
              </w:rPr>
              <w:t>W9</w:t>
            </w:r>
          </w:p>
        </w:tc>
        <w:tc>
          <w:tcPr>
            <w:tcW w:type="dxa" w:w="1474"/>
          </w:tcPr>
          <w:p>
            <w:r/>
            <w:r>
              <w:rPr>
                <w:sz w:val="18"/>
              </w:rPr>
              <w:t>Cap. 5 — Estado del arte</w:t>
            </w:r>
          </w:p>
        </w:tc>
        <w:tc>
          <w:tcPr>
            <w:tcW w:type="dxa" w:w="1701"/>
          </w:tcPr>
          <w:p>
            <w:r/>
            <w:r>
              <w:rPr>
                <w:sz w:val="18"/>
              </w:rPr>
              <w:t>5.4 Estimación de pose humana por visión</w:t>
            </w:r>
          </w:p>
        </w:tc>
        <w:tc>
          <w:tcPr>
            <w:tcW w:type="dxa" w:w="4309"/>
          </w:tcPr>
          <w:p>
            <w:r/>
            <w:r>
              <w:rPr>
                <w:sz w:val="18"/>
              </w:rPr>
              <w:t>BlazePose (Bazarevsky et al., 2020) es una red convolucional ligera que produce 33 puntos clave del cuerpo a &gt;30 fps sin GPU dedicada, y es la base de MediaPipe Pose usado en este proyecto.</w:t>
            </w:r>
          </w:p>
        </w:tc>
        <w:tc>
          <w:tcPr>
            <w:tcW w:type="dxa" w:w="1644"/>
          </w:tcPr>
          <w:p>
            <w:r>
              <w:t>BlazePose (Bazarevsky et al., 2020) es una red convolucional ligera. Saca 33 puntos clave del cuerpo a más de 30 fps sin GPU dedicada. MediaPipe Pose, el que usamos en el proyecto, se basa en ella.</w:t>
            </w:r>
          </w:p>
        </w:tc>
      </w:tr>
      <w:tr>
        <w:tc>
          <w:tcPr>
            <w:tcW w:type="dxa" w:w="510"/>
          </w:tcPr>
          <w:p>
            <w:r/>
            <w:r>
              <w:rPr>
                <w:sz w:val="18"/>
              </w:rPr>
              <w:t>W10</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Los enfoques van desde visión-LiDAR 360° (Li et al., 2025) hasta fusión profunda —el transformador de Minase y Tanaka (2026) para LiDAR e imagen térmica—, y confirman que la fusión mejora la robustez frente a una sola modalidad.</w:t>
            </w:r>
          </w:p>
        </w:tc>
        <w:tc>
          <w:tcPr>
            <w:tcW w:type="dxa" w:w="1644"/>
          </w:tcPr>
          <w:p>
            <w:r>
              <w:t>Igual que G5 (misma frase). Ver propuesta G5.</w:t>
            </w:r>
          </w:p>
        </w:tc>
      </w:tr>
      <w:tr>
        <w:tc>
          <w:tcPr>
            <w:tcW w:type="dxa" w:w="510"/>
          </w:tcPr>
          <w:p>
            <w:r/>
            <w:r>
              <w:rPr>
                <w:sz w:val="18"/>
              </w:rPr>
              <w:t>W11</w:t>
            </w:r>
          </w:p>
        </w:tc>
        <w:tc>
          <w:tcPr>
            <w:tcW w:type="dxa" w:w="1474"/>
          </w:tcPr>
          <w:p>
            <w:r/>
            <w:r>
              <w:rPr>
                <w:sz w:val="18"/>
              </w:rPr>
              <w:t>Cap. 5 — Estado del arte</w:t>
            </w:r>
          </w:p>
        </w:tc>
        <w:tc>
          <w:tcPr>
            <w:tcW w:type="dxa" w:w="1701"/>
          </w:tcPr>
          <w:p>
            <w:r/>
            <w:r>
              <w:rPr>
                <w:sz w:val="18"/>
              </w:rPr>
              <w:t>5.7 Seguimiento de estado: filtros bayesianos</w:t>
            </w:r>
          </w:p>
        </w:tc>
        <w:tc>
          <w:tcPr>
            <w:tcW w:type="dxa" w:w="4309"/>
          </w:tcPr>
          <w:p>
            <w:r/>
            <w:r>
              <w:rPr>
                <w:sz w:val="18"/>
              </w:rPr>
              <w:t>Bellotto y Hu (2010) muestran que el UKF puede igualar a un filtro de partículas con mucho menor coste — relevante para plataformas sin GPU como la de este proyecto.</w:t>
            </w:r>
          </w:p>
        </w:tc>
        <w:tc>
          <w:tcPr>
            <w:tcW w:type="dxa" w:w="1644"/>
          </w:tcPr>
          <w:p>
            <w:r>
              <w:t>Bellotto y Hu (2010) muestran que el UKF puede dar resultados parecidos a un filtro de partículas gastando mucho menos. Para una plataforma sin GPU como la nuestra, eso importa.</w:t>
            </w:r>
          </w:p>
        </w:tc>
      </w:tr>
      <w:tr>
        <w:tc>
          <w:tcPr>
            <w:tcW w:type="dxa" w:w="510"/>
          </w:tcPr>
          <w:p>
            <w:r/>
            <w:r>
              <w:rPr>
                <w:sz w:val="18"/>
              </w:rPr>
              <w:t>W12</w:t>
            </w:r>
          </w:p>
        </w:tc>
        <w:tc>
          <w:tcPr>
            <w:tcW w:type="dxa" w:w="1474"/>
          </w:tcPr>
          <w:p>
            <w:r/>
            <w:r>
              <w:rPr>
                <w:sz w:val="18"/>
              </w:rPr>
              <w:t>Cap. 5 — Estado del arte</w:t>
            </w:r>
          </w:p>
        </w:tc>
        <w:tc>
          <w:tcPr>
            <w:tcW w:type="dxa" w:w="1701"/>
          </w:tcPr>
          <w:p>
            <w:r/>
            <w:r>
              <w:rPr>
                <w:sz w:val="18"/>
              </w:rPr>
              <w:t>5.9 Cartografía y navegación autónoma (SLAM y Nav2)</w:t>
            </w:r>
          </w:p>
        </w:tc>
        <w:tc>
          <w:tcPr>
            <w:tcW w:type="dxa" w:w="4309"/>
          </w:tcPr>
          <w:p>
            <w:r/>
            <w:r>
              <w:rPr>
                <w:sz w:val="18"/>
              </w:rPr>
              <w:t>Sustituyó en la Fase 2 a la implementación propia de SLAM básico de la Fase 1 (§2.3.7), por mayor robustez y cierre de bucles.</w:t>
            </w:r>
          </w:p>
        </w:tc>
        <w:tc>
          <w:tcPr>
            <w:tcW w:type="dxa" w:w="1644"/>
          </w:tcPr>
          <w:p>
            <w:r>
              <w:t>En la Fase 2 cambiamos nuestro SLAM básico de la Fase 1 (§2.3.7) por SLAM Toolbox, porque es más robusto y cierra bucles.</w:t>
            </w:r>
          </w:p>
        </w:tc>
      </w:tr>
      <w:tr>
        <w:tc>
          <w:tcPr>
            <w:tcW w:type="dxa" w:w="510"/>
          </w:tcPr>
          <w:p>
            <w:r/>
            <w:r>
              <w:rPr>
                <w:sz w:val="18"/>
              </w:rPr>
              <w:t>W13</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t>Igual que M10 (misma frase). Ver propuesta M10.</w:t>
            </w:r>
          </w:p>
        </w:tc>
      </w:tr>
      <w:tr>
        <w:tc>
          <w:tcPr>
            <w:tcW w:type="dxa" w:w="510"/>
          </w:tcPr>
          <w:p>
            <w:r/>
            <w:r>
              <w:rPr>
                <w:sz w:val="18"/>
              </w:rPr>
              <w:t>W14</w:t>
            </w:r>
          </w:p>
        </w:tc>
        <w:tc>
          <w:tcPr>
            <w:tcW w:type="dxa" w:w="1474"/>
          </w:tcPr>
          <w:p>
            <w:r/>
            <w:r>
              <w:rPr>
                <w:sz w:val="18"/>
              </w:rPr>
              <w:t>Cap. 5 — Estado del arte</w:t>
            </w:r>
          </w:p>
        </w:tc>
        <w:tc>
          <w:tcPr>
            <w:tcW w:type="dxa" w:w="1701"/>
          </w:tcPr>
          <w:p>
            <w:r/>
            <w:r>
              <w:rPr>
                <w:sz w:val="18"/>
              </w:rPr>
              <w:t>Referencias</w:t>
            </w:r>
          </w:p>
        </w:tc>
        <w:tc>
          <w:tcPr>
            <w:tcW w:type="dxa" w:w="4309"/>
          </w:tcPr>
          <w:p>
            <w:r/>
            <w:r>
              <w:rPr>
                <w:sz w:val="18"/>
              </w:rPr>
              <w:t>Robust Human Tracking Using a 3D LiDAR and Point Cloud Projection for Human-Following Robots.</w:t>
            </w:r>
          </w:p>
        </w:tc>
        <w:tc>
          <w:tcPr>
            <w:tcW w:type="dxa" w:w="1644"/>
          </w:tcPr>
          <w:p>
            <w:r>
              <w:t>Ya resuelto en la sección B (título en mayúscula inicial y DOI). No requiere reescritura.</w:t>
            </w:r>
          </w:p>
        </w:tc>
      </w:tr>
      <w:tr>
        <w:tc>
          <w:tcPr>
            <w:tcW w:type="dxa" w:w="510"/>
          </w:tcPr>
          <w:p>
            <w:r/>
            <w:r>
              <w:rPr>
                <w:sz w:val="18"/>
              </w:rPr>
              <w:t>W15</w:t>
            </w:r>
          </w:p>
        </w:tc>
        <w:tc>
          <w:tcPr>
            <w:tcW w:type="dxa" w:w="1474"/>
          </w:tcPr>
          <w:p>
            <w:r/>
            <w:r>
              <w:rPr>
                <w:sz w:val="18"/>
              </w:rPr>
              <w:t>Cap. 5 — Estado del arte</w:t>
            </w:r>
          </w:p>
        </w:tc>
        <w:tc>
          <w:tcPr>
            <w:tcW w:type="dxa" w:w="1701"/>
          </w:tcPr>
          <w:p>
            <w:r/>
            <w:r>
              <w:rPr>
                <w:sz w:val="18"/>
              </w:rPr>
              <w:t>Referencias</w:t>
            </w:r>
          </w:p>
        </w:tc>
        <w:tc>
          <w:tcPr>
            <w:tcW w:type="dxa" w:w="4309"/>
          </w:tcPr>
          <w:p>
            <w:r/>
            <w:r>
              <w:rPr>
                <w:sz w:val="18"/>
              </w:rPr>
              <w:t>Macenski, S., Martín, F., White, R., y Clavero, J.</w:t>
            </w:r>
          </w:p>
        </w:tc>
        <w:tc>
          <w:tcPr>
            <w:tcW w:type="dxa" w:w="1644"/>
          </w:tcPr>
          <w:p>
            <w:r>
              <w:t>Ya resuelto en la sección B (autores completos con “&amp;” y DOI). No requiere reescritura.</w:t>
            </w:r>
          </w:p>
        </w:tc>
      </w:tr>
      <w:tr>
        <w:tc>
          <w:tcPr>
            <w:tcW w:type="dxa" w:w="510"/>
          </w:tcPr>
          <w:p>
            <w:r/>
            <w:r>
              <w:rPr>
                <w:sz w:val="18"/>
              </w:rPr>
              <w:t>W16</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Es la alternativa a avanzar indefinidamente sin resolver el punto muerto; primera versión, sin validar todavía de forma sistemática (Capítulo 7).</w:t>
            </w:r>
          </w:p>
        </w:tc>
        <w:tc>
          <w:tcPr>
            <w:tcW w:type="dxa" w:w="1644"/>
          </w:tcPr>
          <w:p>
            <w:r>
              <w:t>Sirve para salir del punto muerto en vez de quedarse parado indefinidamente. Es una primera versión, y todavía no la hemos validado de forma sistemática (Capítulo 7).</w:t>
            </w:r>
          </w:p>
        </w:tc>
      </w:tr>
      <w:tr>
        <w:tc>
          <w:tcPr>
            <w:tcW w:type="dxa" w:w="510"/>
          </w:tcPr>
          <w:p>
            <w:r/>
            <w:r>
              <w:rPr>
                <w:sz w:val="18"/>
              </w:rPr>
              <w:t>W17</w:t>
            </w:r>
          </w:p>
        </w:tc>
        <w:tc>
          <w:tcPr>
            <w:tcW w:type="dxa" w:w="1474"/>
          </w:tcPr>
          <w:p>
            <w:r/>
            <w:r>
              <w:rPr>
                <w:sz w:val="18"/>
              </w:rPr>
              <w:t>Cap. 6 — Implementación</w:t>
            </w:r>
          </w:p>
        </w:tc>
        <w:tc>
          <w:tcPr>
            <w:tcW w:type="dxa" w:w="1701"/>
          </w:tcPr>
          <w:p>
            <w:r/>
            <w:r>
              <w:rPr>
                <w:sz w:val="18"/>
              </w:rPr>
              <w:t>6.11 Código no registrado en el paquete</w:t>
            </w:r>
          </w:p>
        </w:tc>
        <w:tc>
          <w:tcPr>
            <w:tcW w:type="dxa" w:w="4309"/>
          </w:tcPr>
          <w:p>
            <w:r/>
            <w:r>
              <w:rPr>
                <w:sz w:val="18"/>
              </w:rPr>
              <w:t>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tc>
        <w:tc>
          <w:tcPr>
            <w:tcW w:type="dxa" w:w="1644"/>
          </w:tcPr>
          <w:p>
            <w:r>
              <w:t>Lo del DWA importa porque la documentación seguía contando que tracking_node lo usaba. El nodo activo usa el controlador reactivo del apartado 6.5. Eso confunde, y limpiarlo antes de entregar tiene sentido.</w:t>
            </w:r>
          </w:p>
        </w:tc>
      </w:tr>
      <w:tr>
        <w:tc>
          <w:tcPr>
            <w:tcW w:type="dxa" w:w="510"/>
          </w:tcPr>
          <w:p>
            <w:r/>
            <w:r>
              <w:rPr>
                <w:sz w:val="18"/>
              </w:rPr>
              <w:t>W18</w:t>
            </w:r>
          </w:p>
        </w:tc>
        <w:tc>
          <w:tcPr>
            <w:tcW w:type="dxa" w:w="1474"/>
          </w:tcPr>
          <w:p>
            <w:r/>
            <w:r>
              <w:rPr>
                <w:sz w:val="18"/>
              </w:rPr>
              <w:t>Cap. 7 — Resultados y evaluación</w:t>
            </w:r>
          </w:p>
        </w:tc>
        <w:tc>
          <w:tcPr>
            <w:tcW w:type="dxa" w:w="1701"/>
          </w:tcPr>
          <w:p>
            <w:r/>
            <w:r>
              <w:rPr>
                <w:sz w:val="18"/>
              </w:rPr>
              <w:t>7.7 Resultado 5 — Nav2: localización y navegación autónoma (27 de julio de 2026)</w:t>
            </w:r>
          </w:p>
        </w:tc>
        <w:tc>
          <w:tcPr>
            <w:tcW w:type="dxa" w:w="4309"/>
          </w:tcPr>
          <w:p>
            <w:r/>
            <w:r>
              <w:rPr>
                <w:sz w:val="18"/>
              </w:rPr>
              <w:t>Durante la sesión se detectó que el mapa guardado no reflejaba bien el espacio real; se regrabó y validó antes de sustituirlo —todos los resultados corresponden ya al mapa nuevo.</w:t>
            </w:r>
          </w:p>
        </w:tc>
        <w:tc>
          <w:tcPr>
            <w:tcW w:type="dxa" w:w="1644"/>
          </w:tcPr>
          <w:p>
            <w:r>
              <w:t>Durante la sesión vimos que el mapa guardado no se parecía bien al espacio real. Lo volvimos a grabar y lo validamos antes de cambiarlo. Todos los resultados son ya con el mapa nuevo.</w:t>
            </w:r>
          </w:p>
        </w:tc>
      </w:tr>
      <w:tr>
        <w:tc>
          <w:tcPr>
            <w:tcW w:type="dxa" w:w="510"/>
          </w:tcPr>
          <w:p>
            <w:r/>
            <w:r>
              <w:rPr>
                <w:sz w:val="18"/>
              </w:rPr>
              <w:t>W19</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Es un primer resultado, con una muestra de 11 intentos en una única sesión (véase §7.9).</w:t>
            </w:r>
          </w:p>
        </w:tc>
        <w:tc>
          <w:tcPr>
            <w:tcW w:type="dxa" w:w="1644"/>
          </w:tcPr>
          <w:p>
            <w:r>
              <w:t>Es un primer resultado. Son 11 intentos, en una sola sesión (véase §7.9).</w:t>
            </w:r>
          </w:p>
        </w:tc>
      </w:tr>
      <w:tr>
        <w:tc>
          <w:tcPr>
            <w:tcW w:type="dxa" w:w="510"/>
          </w:tcPr>
          <w:p>
            <w:r/>
            <w:r>
              <w:rPr>
                <w:sz w:val="18"/>
              </w:rPr>
              <w:t>W20</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El resultado de navegación corresponde a una única sesión, sin repeticiones que separen variabilidad real de puntual; tampoco se ha investigado en profundidad la causa exacta del único fallo observado.</w:t>
            </w:r>
          </w:p>
        </w:tc>
        <w:tc>
          <w:tcPr>
            <w:tcW w:type="dxa" w:w="1644"/>
          </w:tcPr>
          <w:p>
            <w:r>
              <w:t>Igual que M17 (misma frase). Ver propuesta M17.</w:t>
            </w:r>
          </w:p>
        </w:tc>
      </w:tr>
    </w:tbl>
    <w:p>
      <w:pPr>
        <w:spacing w:before="240" w:after="80"/>
      </w:pPr>
      <w:r>
        <w:rPr>
          <w:b/>
          <w:color w:val="10233F"/>
          <w:sz w:val="28"/>
        </w:rPr>
        <w:t>D. Propuesta de texto para la declaración de IA (§3.1 y §3.2.1)</w:t>
      </w:r>
    </w:p>
    <w:p>
      <w:pPr>
        <w:spacing w:after="80"/>
      </w:pPr>
      <w:r>
        <w:rPr>
          <w:i w:val="0"/>
          <w:sz w:val="20"/>
        </w:rPr>
        <w:t>Sustituye el texto actual de §3.2.1 (“El asistente no tomó decisiones de diseño…”) por esta versión, ajustada a lo que pasó de verdad. Revísala después de tu reescritura, porque debe seguir siendo cierta:</w:t>
      </w:r>
    </w:p>
    <w:p>
      <w:pPr>
        <w:spacing w:after="80"/>
      </w:pPr>
      <w:r>
        <w:rPr>
          <w:i/>
          <w:sz w:val="20"/>
        </w:rPr>
        <w:t>“Durante el desarrollo se ha utilizado un asistente de inteligencia artificial conversacional (Claude, Anthropic) para diagnosticar errores de compilación y configuración de ROS 2, revisar fragmentos de código y, en la fase final de redacción, reformular y recortar algunos párrafos para ajustar la memoria al límite de páginas. El autor ha revisado y validado cada cambio. Las decisiones de diseño, los datos experimentales, las pruebas en el robot y las conclusiones son responsabilidad del autor.”</w:t>
      </w:r>
    </w:p>
    <w:p>
      <w:pPr>
        <w:spacing w:before="240" w:after="80"/>
      </w:pPr>
      <w:r>
        <w:rPr>
          <w:b/>
          <w:color w:val="10233F"/>
          <w:sz w:val="28"/>
        </w:rPr>
        <w:t>E. Antes de enviar</w:t>
      </w:r>
    </w:p>
    <w:p>
      <w:pPr>
        <w:spacing w:after="80"/>
      </w:pPr>
      <w:r>
        <w:rPr>
          <w:i w:val="0"/>
          <w:sz w:val="21"/>
        </w:rPr>
        <w:t>☐  Revisar la portada EN y completar el nombre del máster.</w:t>
      </w:r>
    </w:p>
    <w:p>
      <w:pPr>
        <w:spacing w:after="80"/>
      </w:pPr>
      <w:r>
        <w:rPr>
          <w:i w:val="0"/>
          <w:sz w:val="21"/>
        </w:rPr>
        <w:t>☐  Actualizar el índice (clic derecho sobre el índice, Actualizar campo) si cambias títulos o páginas.</w:t>
      </w:r>
    </w:p>
    <w:p>
      <w:pPr>
        <w:spacing w:after="80"/>
      </w:pPr>
      <w:r>
        <w:rPr>
          <w:i w:val="0"/>
          <w:sz w:val="21"/>
        </w:rPr>
        <w:t>☐  Comprobar que las citas del texto coinciden con la bibliografía tras resolver los puntos 1 a 4 de la sección B.</w:t>
      </w:r>
    </w:p>
    <w:p>
      <w:pPr>
        <w:spacing w:after="80"/>
      </w:pPr>
      <w:r>
        <w:rPr>
          <w:i w:val="0"/>
          <w:sz w:val="21"/>
        </w:rPr>
        <w:t>☐  Confirmar el número final de páginas (ahora 29) dentro del límite de 25 a 30.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