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Business Sales Analysis Using Spreadsheet Technology</w:t>
      </w:r>
    </w:p>
    <w:p>
      <w:pPr>
        <w:jc w:val="center"/>
      </w:pPr>
      <w:r>
        <w:rPr>
          <w:b/>
          <w:sz w:val="26"/>
        </w:rPr>
        <w:t>Executive Summary — Keystone Retail Solutions</w:t>
      </w:r>
    </w:p>
    <w:p>
      <w:pPr>
        <w:jc w:val="center"/>
      </w:pPr>
      <w:r>
        <w:rPr>
          <w:i/>
          <w:color w:val="5A5A5A"/>
          <w:sz w:val="20"/>
        </w:rPr>
        <w:t>Made by Juan Barrera</w:t>
        <w:br/>
        <w:t>Professor Jeffrey Seaman</w:t>
        <w:br/>
        <w:t>Management Information Systems</w:t>
      </w:r>
    </w:p>
    <w:p>
      <w:pPr>
        <w:pStyle w:val="Heading1"/>
      </w:pPr>
      <w:r>
        <w:t>Executive Summary</w:t>
      </w:r>
    </w:p>
    <w:p>
      <w:r>
        <w:rPr>
          <w:b/>
        </w:rPr>
        <w:t xml:space="preserve">Keystone Retail Solutions </w:t>
      </w:r>
      <w:r>
        <w:t xml:space="preserve">provided sales transaction data for analysis across regions, products, salespeople, months, and customer types. The Excel workbook organizes the raw dataset, adds calculated business fields using IF logic and XLOOKUP, summarizes performance with SUMIFS formulas, and presents leadership insights through an executive dashboard. The analysis shows total revenue of </w:t>
      </w:r>
      <w:r>
        <w:rPr>
          <w:b/>
        </w:rPr>
        <w:t>$777,224.92</w:t>
      </w:r>
      <w:r>
        <w:t xml:space="preserve">, total quantity sold of </w:t>
      </w:r>
      <w:r>
        <w:rPr>
          <w:b/>
        </w:rPr>
        <w:t>5,046 units</w:t>
      </w:r>
      <w:r>
        <w:t xml:space="preserve">, and an average sale amount of </w:t>
      </w:r>
      <w:r>
        <w:rPr>
          <w:b/>
        </w:rPr>
        <w:t>$2,428.83</w:t>
      </w:r>
      <w:r>
        <w:t xml:space="preserve"> per transaction.</w:t>
      </w:r>
    </w:p>
    <w:p>
      <w:r>
        <w:rPr>
          <w:b/>
        </w:rPr>
        <w:t xml:space="preserve">The strongest region is the South, </w:t>
      </w:r>
      <w:r>
        <w:t xml:space="preserve">which generated approximately $246,400.95 in revenue. The West followed closely at $238,926.52, while the Midwest underperformed with only $86,324.38. This regional gap suggests leadership should review Midwest sales coverage, marketing activity, product availability, and salesperson support. The best-performing product was </w:t>
      </w:r>
      <w:r>
        <w:rPr>
          <w:b/>
        </w:rPr>
        <w:t>Smart Home Hub</w:t>
      </w:r>
      <w:r>
        <w:t xml:space="preserve">, showing that higher-value electronics are a major driver of total revenue. The top salesperson was </w:t>
      </w:r>
      <w:r>
        <w:rPr>
          <w:b/>
        </w:rPr>
        <w:t>Ava Davis</w:t>
      </w:r>
      <w:r>
        <w:t>, indicating that her sales approach or territory may provide useful best practices for the team.</w:t>
      </w:r>
    </w:p>
    <w:p>
      <w:pPr>
        <w:pStyle w:val="Heading1"/>
      </w:pPr>
      <w:r>
        <w:t>Key Metrics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9"/>
              </w:rPr>
              <w:t>Metric</w:t>
            </w:r>
          </w:p>
        </w:tc>
        <w:tc>
          <w:tcPr>
            <w:tcW w:type="dxa" w:w="5040"/>
            <w:shd w:fill="1F4E78"/>
          </w:tcPr>
          <w:p>
            <w:r>
              <w:rPr>
                <w:b/>
                <w:color w:val="FFFFFF"/>
                <w:sz w:val="19"/>
              </w:rPr>
              <w:t>Result</w:t>
            </w:r>
          </w:p>
        </w:tc>
      </w:tr>
      <w:tr>
        <w:tc>
          <w:tcPr>
            <w:tcW w:type="dxa" w:w="5040"/>
            <w:vAlign w:val="center"/>
          </w:tcPr>
          <w:p>
            <w:r>
              <w:rPr>
                <w:sz w:val="19"/>
              </w:rPr>
              <w:t>Total Revenue</w:t>
            </w:r>
          </w:p>
        </w:tc>
        <w:tc>
          <w:tcPr>
            <w:tcW w:type="dxa" w:w="5040"/>
            <w:vAlign w:val="center"/>
          </w:tcPr>
          <w:p>
            <w:r>
              <w:rPr>
                <w:sz w:val="19"/>
              </w:rPr>
              <w:t>$777,224.92</w:t>
            </w:r>
          </w:p>
        </w:tc>
      </w:tr>
      <w:tr>
        <w:tc>
          <w:tcPr>
            <w:tcW w:type="dxa" w:w="5040"/>
            <w:vAlign w:val="center"/>
          </w:tcPr>
          <w:p>
            <w:r>
              <w:rPr>
                <w:sz w:val="19"/>
              </w:rPr>
              <w:t>Total Quantity Sold</w:t>
            </w:r>
          </w:p>
        </w:tc>
        <w:tc>
          <w:tcPr>
            <w:tcW w:type="dxa" w:w="5040"/>
            <w:vAlign w:val="center"/>
          </w:tcPr>
          <w:p>
            <w:r>
              <w:rPr>
                <w:sz w:val="19"/>
              </w:rPr>
              <w:t>5,046 units</w:t>
            </w:r>
          </w:p>
        </w:tc>
      </w:tr>
      <w:tr>
        <w:tc>
          <w:tcPr>
            <w:tcW w:type="dxa" w:w="5040"/>
            <w:vAlign w:val="center"/>
          </w:tcPr>
          <w:p>
            <w:r>
              <w:rPr>
                <w:sz w:val="19"/>
              </w:rPr>
              <w:t>Average Sale Amount</w:t>
            </w:r>
          </w:p>
        </w:tc>
        <w:tc>
          <w:tcPr>
            <w:tcW w:type="dxa" w:w="5040"/>
            <w:vAlign w:val="center"/>
          </w:tcPr>
          <w:p>
            <w:r>
              <w:rPr>
                <w:sz w:val="19"/>
              </w:rPr>
              <w:t>$2,428.83</w:t>
            </w:r>
          </w:p>
        </w:tc>
      </w:tr>
      <w:tr>
        <w:tc>
          <w:tcPr>
            <w:tcW w:type="dxa" w:w="5040"/>
            <w:vAlign w:val="center"/>
          </w:tcPr>
          <w:p>
            <w:r>
              <w:rPr>
                <w:sz w:val="19"/>
              </w:rPr>
              <w:t>Top Region</w:t>
            </w:r>
          </w:p>
        </w:tc>
        <w:tc>
          <w:tcPr>
            <w:tcW w:type="dxa" w:w="5040"/>
            <w:vAlign w:val="center"/>
          </w:tcPr>
          <w:p>
            <w:r>
              <w:rPr>
                <w:sz w:val="19"/>
              </w:rPr>
              <w:t>South</w:t>
            </w:r>
          </w:p>
        </w:tc>
      </w:tr>
      <w:tr>
        <w:tc>
          <w:tcPr>
            <w:tcW w:type="dxa" w:w="5040"/>
            <w:vAlign w:val="center"/>
          </w:tcPr>
          <w:p>
            <w:r>
              <w:rPr>
                <w:sz w:val="19"/>
              </w:rPr>
              <w:t>Best Product</w:t>
            </w:r>
          </w:p>
        </w:tc>
        <w:tc>
          <w:tcPr>
            <w:tcW w:type="dxa" w:w="5040"/>
            <w:vAlign w:val="center"/>
          </w:tcPr>
          <w:p>
            <w:r>
              <w:rPr>
                <w:sz w:val="19"/>
              </w:rPr>
              <w:t>Smart Home Hub</w:t>
            </w:r>
          </w:p>
        </w:tc>
      </w:tr>
      <w:tr>
        <w:tc>
          <w:tcPr>
            <w:tcW w:type="dxa" w:w="5040"/>
            <w:vAlign w:val="center"/>
          </w:tcPr>
          <w:p>
            <w:r>
              <w:rPr>
                <w:sz w:val="19"/>
              </w:rPr>
              <w:t>Top Salesperson</w:t>
            </w:r>
          </w:p>
        </w:tc>
        <w:tc>
          <w:tcPr>
            <w:tcW w:type="dxa" w:w="5040"/>
            <w:vAlign w:val="center"/>
          </w:tcPr>
          <w:p>
            <w:r>
              <w:rPr>
                <w:sz w:val="19"/>
              </w:rPr>
              <w:t>Ava Davis</w:t>
            </w:r>
          </w:p>
        </w:tc>
      </w:tr>
      <w:tr>
        <w:tc>
          <w:tcPr>
            <w:tcW w:type="dxa" w:w="5040"/>
            <w:vAlign w:val="center"/>
          </w:tcPr>
          <w:p>
            <w:r>
              <w:rPr>
                <w:sz w:val="19"/>
              </w:rPr>
              <w:t>Highest Month</w:t>
            </w:r>
          </w:p>
        </w:tc>
        <w:tc>
          <w:tcPr>
            <w:tcW w:type="dxa" w:w="5040"/>
            <w:vAlign w:val="center"/>
          </w:tcPr>
          <w:p>
            <w:r>
              <w:rPr>
                <w:sz w:val="19"/>
              </w:rPr>
              <w:t>December</w:t>
            </w:r>
          </w:p>
        </w:tc>
      </w:tr>
      <w:tr>
        <w:tc>
          <w:tcPr>
            <w:tcW w:type="dxa" w:w="5040"/>
            <w:vAlign w:val="center"/>
          </w:tcPr>
          <w:p>
            <w:r>
              <w:rPr>
                <w:sz w:val="19"/>
              </w:rPr>
              <w:t>Underperforming Region</w:t>
            </w:r>
          </w:p>
        </w:tc>
        <w:tc>
          <w:tcPr>
            <w:tcW w:type="dxa" w:w="5040"/>
            <w:vAlign w:val="center"/>
          </w:tcPr>
          <w:p>
            <w:r>
              <w:rPr>
                <w:sz w:val="19"/>
              </w:rPr>
              <w:t>Midwest</w:t>
            </w:r>
          </w:p>
        </w:tc>
      </w:tr>
    </w:tbl>
    <w:p>
      <w:pPr>
        <w:pStyle w:val="Heading1"/>
      </w:pPr>
      <w:r>
        <w:t>Business Trends and Concerns</w:t>
      </w:r>
    </w:p>
    <w:p>
      <w:pPr>
        <w:pStyle w:val="ListBullet"/>
      </w:pPr>
      <w:r>
        <w:t>Revenue is concentrated in the South and West regions, which together generated more than half of total revenue.</w:t>
      </w:r>
    </w:p>
    <w:p>
      <w:pPr>
        <w:pStyle w:val="ListBullet"/>
      </w:pPr>
      <w:r>
        <w:t>The Midwest region appears underperforming and should be reviewed for staffing, marketing, customer demand, and product mix issues.</w:t>
      </w:r>
    </w:p>
    <w:p>
      <w:pPr>
        <w:pStyle w:val="ListBullet"/>
      </w:pPr>
      <w:r>
        <w:t>Sales increase strongly late in the year, with December producing the highest monthly sales, which suggests holiday demand is a major driver.</w:t>
      </w:r>
    </w:p>
    <w:p>
      <w:pPr>
        <w:pStyle w:val="ListBullet"/>
      </w:pPr>
      <w:r>
        <w:t>Wholesale customers generated more revenue than retail customers, which means account management and bulk ordering relationships are important to the business.</w:t>
      </w:r>
    </w:p>
    <w:p>
      <w:pPr>
        <w:pStyle w:val="ListBullet"/>
      </w:pPr>
      <w:r>
        <w:t>Smart Home Hub and other electronics products are key revenue drivers and should receive inventory and promotional priority.</w:t>
      </w:r>
    </w:p>
    <w:p>
      <w:pPr>
        <w:pStyle w:val="Heading1"/>
      </w:pPr>
      <w:r>
        <w:t>Recommendations</w:t>
      </w:r>
    </w:p>
    <w:p>
      <w:pPr>
        <w:pStyle w:val="ListBullet"/>
      </w:pPr>
      <w:r>
        <w:t>Increase attention on the Midwest region by reviewing salesperson assignments, local promotions, and product availability.</w:t>
      </w:r>
    </w:p>
    <w:p>
      <w:pPr>
        <w:pStyle w:val="ListBullet"/>
      </w:pPr>
      <w:r>
        <w:t>Protect inventory levels for top products, especially Smart Home Hub, Wireless Headphones, Air Fryer XL, and Ergonomic Office Chair.</w:t>
      </w:r>
    </w:p>
    <w:p>
      <w:pPr>
        <w:pStyle w:val="ListBullet"/>
      </w:pPr>
      <w:r>
        <w:t>Use Ava Davis and other high-performing salespeople as benchmarks for training and sales process improvement.</w:t>
      </w:r>
    </w:p>
    <w:p>
      <w:pPr>
        <w:pStyle w:val="ListBullet"/>
      </w:pPr>
      <w:r>
        <w:t>Plan staffing, inventory, and promotions before November and December because the dashboard shows the strongest monthly demand in the holiday period.</w:t>
      </w:r>
    </w:p>
    <w:p>
      <w:pPr>
        <w:pStyle w:val="ListBullet"/>
      </w:pPr>
      <w:r>
        <w:t>Continue using spreadsheet dashboards with KPI metrics, SUMIFS analysis, and visual charts so leadership can monitor sales performance quickly.</w:t>
      </w:r>
    </w:p>
    <w:p>
      <w:r>
        <w:rPr>
          <w:b/>
        </w:rPr>
        <w:t xml:space="preserve">Conclusion: </w:t>
      </w:r>
      <w:r>
        <w:t>The dashboard provides a clear executive view of sales performance and identifies specific opportunities for Keystone Retail Solutions to improve regional performance, prioritize high-performing products, and prepare for seasonal demand. The most important action is to support the Midwest region while protecting inventory and sales resources for the strongest products and peak months.</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Made by Juan Barrera | Professor Jeffrey Seaman | Management Information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