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32"/>
          <w:szCs w:val="32"/>
        </w:rPr>
        <w:t xml:space="preserve">MEMORANDUM</w:t>
      </w:r>
    </w:p>
    <w:p>
      <w:pPr>
        <w:tabs>
          <w:tab w:val="left" w:pos="1300"/>
        </w:tabs>
        <w:spacing w:after="60"/>
      </w:pPr>
      <w:r>
        <w:rPr>
          <w:rFonts w:ascii="Arial" w:cs="Arial" w:eastAsia="Arial" w:hAnsi="Arial"/>
          <w:b/>
          <w:bCs/>
          <w:sz w:val="22"/>
          <w:szCs w:val="22"/>
        </w:rPr>
        <w:t xml:space="preserve">To:</w:t>
      </w:r>
      <w:r>
        <w:rPr>
          <w:rFonts w:ascii="Arial" w:cs="Arial" w:eastAsia="Arial" w:hAnsi="Arial"/>
          <w:sz w:val="22"/>
          <w:szCs w:val="22"/>
        </w:rPr>
        <w:t xml:space="preserve">	Compensation Committee</w:t>
      </w:r>
    </w:p>
    <w:p>
      <w:pPr>
        <w:tabs>
          <w:tab w:val="left" w:pos="1300"/>
        </w:tabs>
        <w:spacing w:after="60"/>
      </w:pPr>
      <w:r>
        <w:rPr>
          <w:rFonts w:ascii="Arial" w:cs="Arial" w:eastAsia="Arial" w:hAnsi="Arial"/>
          <w:b/>
          <w:bCs/>
          <w:sz w:val="22"/>
          <w:szCs w:val="22"/>
        </w:rPr>
        <w:t xml:space="preserve">From:</w:t>
      </w:r>
      <w:r>
        <w:rPr>
          <w:rFonts w:ascii="Arial" w:cs="Arial" w:eastAsia="Arial" w:hAnsi="Arial"/>
          <w:sz w:val="22"/>
          <w:szCs w:val="22"/>
        </w:rPr>
        <w:t xml:space="preserve">	</w:t>
      </w:r>
    </w:p>
    <w:p>
      <w:pPr>
        <w:tabs>
          <w:tab w:val="left" w:pos="1300"/>
        </w:tabs>
        <w:spacing w:after="60"/>
      </w:pPr>
      <w:r>
        <w:rPr>
          <w:rFonts w:ascii="Arial" w:cs="Arial" w:eastAsia="Arial" w:hAnsi="Arial"/>
          <w:b/>
          <w:bCs/>
          <w:sz w:val="22"/>
          <w:szCs w:val="22"/>
        </w:rPr>
        <w:t xml:space="preserve">Date:</w:t>
      </w:r>
      <w:r>
        <w:rPr>
          <w:rFonts w:ascii="Arial" w:cs="Arial" w:eastAsia="Arial" w:hAnsi="Arial"/>
          <w:sz w:val="22"/>
          <w:szCs w:val="22"/>
        </w:rPr>
        <w:t xml:space="preserve">	</w:t>
      </w:r>
    </w:p>
    <w:p>
      <w:pPr>
        <w:pBdr>
          <w:bottom w:val="single" w:color="1F3864" w:sz="8" w:space="6"/>
        </w:pBdr>
        <w:tabs>
          <w:tab w:val="left" w:pos="1300"/>
        </w:tabs>
        <w:spacing w:after="240"/>
      </w:pPr>
      <w:r>
        <w:rPr>
          <w:rFonts w:ascii="Arial" w:cs="Arial" w:eastAsia="Arial" w:hAnsi="Arial"/>
          <w:b/>
          <w:bCs/>
          <w:sz w:val="22"/>
          <w:szCs w:val="22"/>
        </w:rPr>
        <w:t xml:space="preserve">Re:</w:t>
      </w:r>
      <w:r>
        <w:rPr>
          <w:rFonts w:ascii="Arial" w:cs="Arial" w:eastAsia="Arial" w:hAnsi="Arial"/>
          <w:sz w:val="22"/>
          <w:szCs w:val="22"/>
        </w:rPr>
        <w:t xml:space="preserve">	The new partner compensation program</w:t>
      </w:r>
    </w:p>
    <w:p>
      <w:pPr>
        <w:keepNext/>
        <w:spacing w:after="80" w:before="200"/>
      </w:pPr>
      <w:r>
        <w:rPr>
          <w:rFonts w:ascii="Arial" w:cs="Arial" w:eastAsia="Arial" w:hAnsi="Arial"/>
          <w:b/>
          <w:bCs/>
          <w:color w:val="1F3864"/>
          <w:sz w:val="24"/>
          <w:szCs w:val="24"/>
        </w:rPr>
        <w:t xml:space="preserve">Summary</w:t>
      </w:r>
    </w:p>
    <w:p>
      <w:pPr>
        <w:spacing w:after="120"/>
      </w:pPr>
      <w:r>
        <w:rPr>
          <w:rFonts w:ascii="Arial" w:cs="Arial" w:eastAsia="Arial" w:hAnsi="Arial"/>
          <w:sz w:val="22"/>
          <w:szCs w:val="22"/>
        </w:rPr>
        <w:t xml:space="preserve">We have a new program that runs the annual partner compensation calculation. It takes the TimeSolv exports, applies the firm’s existing equal / EWYK / lockstep system, and produces partner results, a proposed lockstep update and a full Excel report. The calculation itself is unchanged; what changes is that the work is automated, checked and documented in one place instead of in hand-built spreadsheets.</w:t>
      </w:r>
    </w:p>
    <w:p>
      <w:pPr>
        <w:spacing w:after="120"/>
      </w:pPr>
      <w:r>
        <w:rPr>
          <w:rFonts w:ascii="Arial" w:cs="Arial" w:eastAsia="Arial" w:hAnsi="Arial"/>
          <w:sz w:val="22"/>
          <w:szCs w:val="22"/>
        </w:rPr>
        <w:t xml:space="preserve">The program runs on a single office computer. Nothing is sent outside the firm, and all data is kept in a local database file. A built-in demonstration with sample data for an 11-partner firm can be shown to the committee at any time.</w:t>
      </w:r>
    </w:p>
    <w:p>
      <w:pPr>
        <w:keepNext/>
        <w:spacing w:after="80" w:before="200"/>
      </w:pPr>
      <w:r>
        <w:rPr>
          <w:rFonts w:ascii="Arial" w:cs="Arial" w:eastAsia="Arial" w:hAnsi="Arial"/>
          <w:b/>
          <w:bCs/>
          <w:color w:val="1F3864"/>
          <w:sz w:val="24"/>
          <w:szCs w:val="24"/>
        </w:rPr>
        <w:t xml:space="preserve">What the program does</w:t>
      </w:r>
    </w:p>
    <w:p>
      <w:pPr>
        <w:pStyle w:val="ListParagraph"/>
        <w:numPr>
          <w:ilvl w:val="0"/>
          <w:numId w:val="2"/>
        </w:numPr>
        <w:spacing w:after="60"/>
      </w:pPr>
      <w:r>
        <w:rPr>
          <w:rFonts w:ascii="Arial" w:cs="Arial" w:eastAsia="Arial" w:hAnsi="Arial"/>
          <w:b/>
          <w:bCs/>
          <w:sz w:val="22"/>
          <w:szCs w:val="22"/>
        </w:rPr>
        <w:t xml:space="preserve">Imports TimeSolv data. </w:t>
      </w:r>
      <w:r>
        <w:rPr>
          <w:rFonts w:ascii="Arial" w:cs="Arial" w:eastAsia="Arial" w:hAnsi="Arial"/>
          <w:sz w:val="22"/>
          <w:szCs w:val="22"/>
        </w:rPr>
        <w:t xml:space="preserve">Payment allocations, time entries, matters and timekeepers are uploaded as CSV or Excel files. The program recognises TimeSolv column names automatically, remembers the mapping for next time, and rejects bad rows with a message naming the row and the problem.</w:t>
      </w:r>
    </w:p>
    <w:p>
      <w:pPr>
        <w:pStyle w:val="ListParagraph"/>
        <w:numPr>
          <w:ilvl w:val="0"/>
          <w:numId w:val="2"/>
        </w:numPr>
        <w:spacing w:after="60"/>
      </w:pPr>
      <w:r>
        <w:rPr>
          <w:rFonts w:ascii="Arial" w:cs="Arial" w:eastAsia="Arial" w:hAnsi="Arial"/>
          <w:b/>
          <w:bCs/>
          <w:sz w:val="22"/>
          <w:szCs w:val="22"/>
        </w:rPr>
        <w:t xml:space="preserve">Prevents double counting. </w:t>
      </w:r>
      <w:r>
        <w:rPr>
          <w:rFonts w:ascii="Arial" w:cs="Arial" w:eastAsia="Arial" w:hAnsi="Arial"/>
          <w:sz w:val="22"/>
          <w:szCs w:val="22"/>
        </w:rPr>
        <w:t xml:space="preserve">A payment or time entry that was already imported is skipped. Possible duplicate payments within a file are set aside for review rather than counted.</w:t>
      </w:r>
    </w:p>
    <w:p>
      <w:pPr>
        <w:pStyle w:val="ListParagraph"/>
        <w:numPr>
          <w:ilvl w:val="0"/>
          <w:numId w:val="2"/>
        </w:numPr>
        <w:spacing w:after="60"/>
      </w:pPr>
      <w:r>
        <w:rPr>
          <w:rFonts w:ascii="Arial" w:cs="Arial" w:eastAsia="Arial" w:hAnsi="Arial"/>
          <w:b/>
          <w:bCs/>
          <w:sz w:val="22"/>
          <w:szCs w:val="22"/>
        </w:rPr>
        <w:t xml:space="preserve">Applies the policy. </w:t>
      </w:r>
      <w:r>
        <w:rPr>
          <w:rFonts w:ascii="Arial" w:cs="Arial" w:eastAsia="Arial" w:hAnsi="Arial"/>
          <w:sz w:val="22"/>
          <w:szCs w:val="22"/>
        </w:rPr>
        <w:t xml:space="preserve">Only collected professional fees earn credit; expenses, taxes, trust deposits, write-offs and void or out-of-period payments are excluded and listed. Origination and working credit, associate attribution, and the three pools are calculated exactly as the policy provides.</w:t>
      </w:r>
    </w:p>
    <w:p>
      <w:pPr>
        <w:pStyle w:val="ListParagraph"/>
        <w:numPr>
          <w:ilvl w:val="0"/>
          <w:numId w:val="2"/>
        </w:numPr>
        <w:spacing w:after="60"/>
      </w:pPr>
      <w:r>
        <w:rPr>
          <w:rFonts w:ascii="Arial" w:cs="Arial" w:eastAsia="Arial" w:hAnsi="Arial"/>
          <w:b/>
          <w:bCs/>
          <w:sz w:val="22"/>
          <w:szCs w:val="22"/>
        </w:rPr>
        <w:t xml:space="preserve">Credits associate hours to the right partner. </w:t>
      </w:r>
      <w:r>
        <w:rPr>
          <w:rFonts w:ascii="Arial" w:cs="Arial" w:eastAsia="Arial" w:hAnsi="Arial"/>
          <w:sz w:val="22"/>
          <w:szCs w:val="22"/>
        </w:rPr>
        <w:t xml:space="preserve">Hours follow matter-specific assignments first, including split supervision and date ranges, and fall back to the matter’s supervising partner or the associate’s usual supervisor. Hours it cannot place are flagged, never assigned by guesswork.</w:t>
      </w:r>
    </w:p>
    <w:p>
      <w:pPr>
        <w:pStyle w:val="ListParagraph"/>
        <w:numPr>
          <w:ilvl w:val="0"/>
          <w:numId w:val="2"/>
        </w:numPr>
        <w:spacing w:after="60"/>
      </w:pPr>
      <w:r>
        <w:rPr>
          <w:rFonts w:ascii="Arial" w:cs="Arial" w:eastAsia="Arial" w:hAnsi="Arial"/>
          <w:b/>
          <w:bCs/>
          <w:sz w:val="22"/>
          <w:szCs w:val="22"/>
        </w:rPr>
        <w:t xml:space="preserve">Proposes next year’s lockstep weights </w:t>
      </w:r>
      <w:r>
        <w:rPr>
          <w:rFonts w:ascii="Arial" w:cs="Arial" w:eastAsia="Arial" w:hAnsi="Arial"/>
          <w:sz w:val="22"/>
          <w:szCs w:val="22"/>
        </w:rPr>
        <w:t xml:space="preserve">within the 2-point cap and the Managing Partner’s 18% floor, and records any committee override with the reason, the person and the time.</w:t>
      </w:r>
    </w:p>
    <w:p>
      <w:pPr>
        <w:pStyle w:val="ListParagraph"/>
        <w:numPr>
          <w:ilvl w:val="0"/>
          <w:numId w:val="2"/>
        </w:numPr>
        <w:spacing w:after="60"/>
      </w:pPr>
      <w:r>
        <w:rPr>
          <w:rFonts w:ascii="Arial" w:cs="Arial" w:eastAsia="Arial" w:hAnsi="Arial"/>
          <w:b/>
          <w:bCs/>
          <w:sz w:val="22"/>
          <w:szCs w:val="22"/>
        </w:rPr>
        <w:t xml:space="preserve">Produces the Excel report: </w:t>
      </w:r>
      <w:r>
        <w:rPr>
          <w:rFonts w:ascii="Arial" w:cs="Arial" w:eastAsia="Arial" w:hAnsi="Arial"/>
          <w:sz w:val="22"/>
          <w:szCs w:val="22"/>
        </w:rPr>
        <w:t xml:space="preserve">14 sheets covering the summary, policy inputs, each partner’s compensation, the supporting credit detail, the imported data, lockstep, exceptions, reconciliation and the audit log. Key figures are live formulas so they can be checked in Excel.</w:t>
      </w:r>
    </w:p>
    <w:p>
      <w:pPr>
        <w:keepNext/>
        <w:spacing w:after="80" w:before="200"/>
      </w:pPr>
      <w:r>
        <w:rPr>
          <w:rFonts w:ascii="Arial" w:cs="Arial" w:eastAsia="Arial" w:hAnsi="Arial"/>
          <w:b/>
          <w:bCs/>
          <w:color w:val="1F3864"/>
          <w:sz w:val="24"/>
          <w:szCs w:val="24"/>
        </w:rPr>
        <w:t xml:space="preserve">The screens</w:t>
      </w:r>
    </w:p>
    <w:p>
      <w:pPr>
        <w:spacing w:after="120"/>
      </w:pPr>
      <w:r>
        <w:rPr>
          <w:rFonts w:ascii="Arial" w:cs="Arial" w:eastAsia="Arial" w:hAnsi="Arial"/>
          <w:sz w:val="22"/>
          <w:szCs w:val="22"/>
        </w:rPr>
        <w:t xml:space="preserve">The program opens in a web browser and is organised into the following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tcPr>
          <w:p>
            <w:r>
              <w:rPr>
                <w:rFonts w:ascii="Arial" w:cs="Arial" w:eastAsia="Arial" w:hAnsi="Arial"/>
                <w:b/>
                <w:bCs/>
                <w:color w:val="FFFFFF"/>
                <w:sz w:val="20"/>
                <w:szCs w:val="20"/>
              </w:rPr>
              <w:t xml:space="preserve">Page</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tcPr>
          <w:p>
            <w:r>
              <w:rPr>
                <w:rFonts w:ascii="Arial" w:cs="Arial" w:eastAsia="Arial" w:hAnsi="Arial"/>
                <w:b/>
                <w:bCs/>
                <w:color w:val="FFFFFF"/>
                <w:sz w:val="20"/>
                <w:szCs w:val="20"/>
              </w:rPr>
              <w:t xml:space="preserve">What the committee uses it for</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Dashboard</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Pools, collections, data-quality counts, reconciliation status, and any items blocking finalization.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Firm Setup</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Policy percentages and switches, partner roster and lockstep weights, timekeepers, matters and originators.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Imports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Upload TimeSolv exports, confirm column mapping, review validation results, and review possible duplicate payments.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Supervisory Mappings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Assign associate hours to partners by matter, split supervision, entry-level overrides, and exclusions.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Compensation Results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Sortable partner table with all three components; drill-down by client, matter, collection and hours; Excel download.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Lockstep Update</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Proposed next-year weights with cap and floor checks; committee overrides with written reasons.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Audit &amp; Exceptions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Every unresolved or unusual item, the reconciliation checks, and the full audit log.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Finalize &amp; History</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Lock a completed year, reopen with the administrator password, and view prior years.</w:t>
            </w:r>
          </w:p>
        </w:tc>
      </w:tr>
    </w:tbl>
    <w:p>
      <w:pPr>
        <w:spacing w:after="60"/>
      </w:pPr>
      <w:r>
        <w:rPr>
          <w:rFonts w:ascii="Arial" w:cs="Arial" w:eastAsia="Arial" w:hAnsi="Arial"/>
          <w:sz w:val="22"/>
          <w:szCs w:val="22"/>
        </w:rPr>
        <w:t xml:space="preserve"/>
      </w:r>
    </w:p>
    <w:p>
      <w:pPr>
        <w:keepNext/>
        <w:spacing w:after="80" w:before="200"/>
      </w:pPr>
      <w:r>
        <w:rPr>
          <w:rFonts w:ascii="Arial" w:cs="Arial" w:eastAsia="Arial" w:hAnsi="Arial"/>
          <w:b/>
          <w:bCs/>
          <w:color w:val="1F3864"/>
          <w:sz w:val="24"/>
          <w:szCs w:val="24"/>
        </w:rPr>
        <w:t xml:space="preserve">The annual process</w:t>
      </w:r>
    </w:p>
    <w:p>
      <w:pPr>
        <w:pStyle w:val="ListParagraph"/>
        <w:numPr>
          <w:ilvl w:val="0"/>
          <w:numId w:val="3"/>
        </w:numPr>
        <w:spacing w:after="80"/>
      </w:pPr>
      <w:r>
        <w:rPr>
          <w:rFonts w:ascii="Arial" w:cs="Arial" w:eastAsia="Arial" w:hAnsi="Arial"/>
          <w:b/>
          <w:bCs/>
          <w:sz w:val="22"/>
          <w:szCs w:val="22"/>
        </w:rPr>
        <w:t xml:space="preserve">Set up the year. </w:t>
      </w:r>
      <w:r>
        <w:rPr>
          <w:rFonts w:ascii="Arial" w:cs="Arial" w:eastAsia="Arial" w:hAnsi="Arial"/>
          <w:sz w:val="22"/>
          <w:szCs w:val="22"/>
        </w:rPr>
        <w:t xml:space="preserve">Confirm the pool and policy settings, the partner roster and current lockstep weights, and matter originators. A new year can be started by copying the prior year, which carries forward the approved lockstep weights.</w:t>
      </w:r>
    </w:p>
    <w:p>
      <w:pPr>
        <w:pStyle w:val="ListParagraph"/>
        <w:numPr>
          <w:ilvl w:val="0"/>
          <w:numId w:val="3"/>
        </w:numPr>
        <w:spacing w:after="80"/>
      </w:pPr>
      <w:r>
        <w:rPr>
          <w:rFonts w:ascii="Arial" w:cs="Arial" w:eastAsia="Arial" w:hAnsi="Arial"/>
          <w:b/>
          <w:bCs/>
          <w:sz w:val="22"/>
          <w:szCs w:val="22"/>
        </w:rPr>
        <w:t xml:space="preserve">Import the TimeSolv exports. </w:t>
      </w:r>
      <w:r>
        <w:rPr>
          <w:rFonts w:ascii="Arial" w:cs="Arial" w:eastAsia="Arial" w:hAnsi="Arial"/>
          <w:sz w:val="22"/>
          <w:szCs w:val="22"/>
        </w:rPr>
        <w:t xml:space="preserve">The recommended payment source is the Invoice Summary with Payment Allocations report.</w:t>
      </w:r>
    </w:p>
    <w:p>
      <w:pPr>
        <w:pStyle w:val="ListParagraph"/>
        <w:numPr>
          <w:ilvl w:val="0"/>
          <w:numId w:val="3"/>
        </w:numPr>
        <w:spacing w:after="80"/>
      </w:pPr>
      <w:r>
        <w:rPr>
          <w:rFonts w:ascii="Arial" w:cs="Arial" w:eastAsia="Arial" w:hAnsi="Arial"/>
          <w:b/>
          <w:bCs/>
          <w:sz w:val="22"/>
          <w:szCs w:val="22"/>
        </w:rPr>
        <w:t xml:space="preserve">Clear the exceptions. </w:t>
      </w:r>
      <w:r>
        <w:rPr>
          <w:rFonts w:ascii="Arial" w:cs="Arial" w:eastAsia="Arial" w:hAnsi="Arial"/>
          <w:sz w:val="22"/>
          <w:szCs w:val="22"/>
        </w:rPr>
        <w:t xml:space="preserve">The program lists anything that needs a decision, such as unassigned associate hours, matters without an originator, or possible duplicate payments, with instructions for fixing each one.</w:t>
      </w:r>
    </w:p>
    <w:p>
      <w:pPr>
        <w:pStyle w:val="ListParagraph"/>
        <w:numPr>
          <w:ilvl w:val="0"/>
          <w:numId w:val="3"/>
        </w:numPr>
        <w:spacing w:after="80"/>
      </w:pPr>
      <w:r>
        <w:rPr>
          <w:rFonts w:ascii="Arial" w:cs="Arial" w:eastAsia="Arial" w:hAnsi="Arial"/>
          <w:b/>
          <w:bCs/>
          <w:sz w:val="22"/>
          <w:szCs w:val="22"/>
        </w:rPr>
        <w:t xml:space="preserve">Review the results </w:t>
      </w:r>
      <w:r>
        <w:rPr>
          <w:rFonts w:ascii="Arial" w:cs="Arial" w:eastAsia="Arial" w:hAnsi="Arial"/>
          <w:sz w:val="22"/>
          <w:szCs w:val="22"/>
        </w:rPr>
        <w:t xml:space="preserve">on screen, drilling down into any partner, and download the Excel report for the committee.</w:t>
      </w:r>
    </w:p>
    <w:p>
      <w:pPr>
        <w:pStyle w:val="ListParagraph"/>
        <w:numPr>
          <w:ilvl w:val="0"/>
          <w:numId w:val="3"/>
        </w:numPr>
        <w:spacing w:after="80"/>
      </w:pPr>
      <w:r>
        <w:rPr>
          <w:rFonts w:ascii="Arial" w:cs="Arial" w:eastAsia="Arial" w:hAnsi="Arial"/>
          <w:b/>
          <w:bCs/>
          <w:sz w:val="22"/>
          <w:szCs w:val="22"/>
        </w:rPr>
        <w:t xml:space="preserve">Approve lockstep </w:t>
      </w:r>
      <w:r>
        <w:rPr>
          <w:rFonts w:ascii="Arial" w:cs="Arial" w:eastAsia="Arial" w:hAnsi="Arial"/>
          <w:sz w:val="22"/>
          <w:szCs w:val="22"/>
        </w:rPr>
        <w:t xml:space="preserve">and enter any committee overrides.</w:t>
      </w:r>
    </w:p>
    <w:p>
      <w:pPr>
        <w:pStyle w:val="ListParagraph"/>
        <w:numPr>
          <w:ilvl w:val="0"/>
          <w:numId w:val="3"/>
        </w:numPr>
        <w:spacing w:after="80"/>
      </w:pPr>
      <w:r>
        <w:rPr>
          <w:rFonts w:ascii="Arial" w:cs="Arial" w:eastAsia="Arial" w:hAnsi="Arial"/>
          <w:b/>
          <w:bCs/>
          <w:sz w:val="22"/>
          <w:szCs w:val="22"/>
        </w:rPr>
        <w:t xml:space="preserve">Finalize the year. </w:t>
      </w:r>
      <w:r>
        <w:rPr>
          <w:rFonts w:ascii="Arial" w:cs="Arial" w:eastAsia="Arial" w:hAnsi="Arial"/>
          <w:sz w:val="22"/>
          <w:szCs w:val="22"/>
        </w:rPr>
        <w:t xml:space="preserve">This is only possible once no blocking exceptions remain and the totals reconcile to the pool.</w:t>
      </w:r>
    </w:p>
    <w:p>
      <w:pPr>
        <w:keepNext/>
        <w:spacing w:after="80" w:before="200"/>
      </w:pPr>
      <w:r>
        <w:rPr>
          <w:rFonts w:ascii="Arial" w:cs="Arial" w:eastAsia="Arial" w:hAnsi="Arial"/>
          <w:b/>
          <w:bCs/>
          <w:color w:val="1F3864"/>
          <w:sz w:val="24"/>
          <w:szCs w:val="24"/>
        </w:rPr>
        <w:t xml:space="preserve">Controls and safeguards</w:t>
      </w:r>
    </w:p>
    <w:p>
      <w:pPr>
        <w:pStyle w:val="ListParagraph"/>
        <w:numPr>
          <w:ilvl w:val="0"/>
          <w:numId w:val="2"/>
        </w:numPr>
        <w:spacing w:after="60"/>
      </w:pPr>
      <w:r>
        <w:rPr>
          <w:rFonts w:ascii="Arial" w:cs="Arial" w:eastAsia="Arial" w:hAnsi="Arial"/>
          <w:b/>
          <w:bCs/>
          <w:sz w:val="22"/>
          <w:szCs w:val="22"/>
        </w:rPr>
        <w:t xml:space="preserve">Exact arithmetic. </w:t>
      </w:r>
      <w:r>
        <w:rPr>
          <w:rFonts w:ascii="Arial" w:cs="Arial" w:eastAsia="Arial" w:hAnsi="Arial"/>
          <w:sz w:val="22"/>
          <w:szCs w:val="22"/>
        </w:rPr>
        <w:t xml:space="preserve">Amounts are calculated to the cent, and partner totals always add up exactly to the distributable pool. A reconciliation check confirms this every time.</w:t>
      </w:r>
    </w:p>
    <w:p>
      <w:pPr>
        <w:pStyle w:val="ListParagraph"/>
        <w:numPr>
          <w:ilvl w:val="0"/>
          <w:numId w:val="2"/>
        </w:numPr>
        <w:spacing w:after="60"/>
      </w:pPr>
      <w:r>
        <w:rPr>
          <w:rFonts w:ascii="Arial" w:cs="Arial" w:eastAsia="Arial" w:hAnsi="Arial"/>
          <w:b/>
          <w:bCs/>
          <w:sz w:val="22"/>
          <w:szCs w:val="22"/>
        </w:rPr>
        <w:t xml:space="preserve">Audit trail. </w:t>
      </w:r>
      <w:r>
        <w:rPr>
          <w:rFonts w:ascii="Arial" w:cs="Arial" w:eastAsia="Arial" w:hAnsi="Arial"/>
          <w:sz w:val="22"/>
          <w:szCs w:val="22"/>
        </w:rPr>
        <w:t xml:space="preserve">Every manual change, including settings, mappings, overrides and exclusions, is logged with the user’s name and the time. The original import files are kept.</w:t>
      </w:r>
    </w:p>
    <w:p>
      <w:pPr>
        <w:pStyle w:val="ListParagraph"/>
        <w:numPr>
          <w:ilvl w:val="0"/>
          <w:numId w:val="2"/>
        </w:numPr>
        <w:spacing w:after="60"/>
      </w:pPr>
      <w:r>
        <w:rPr>
          <w:rFonts w:ascii="Arial" w:cs="Arial" w:eastAsia="Arial" w:hAnsi="Arial"/>
          <w:b/>
          <w:bCs/>
          <w:sz w:val="22"/>
          <w:szCs w:val="22"/>
        </w:rPr>
        <w:t xml:space="preserve">Locked years. </w:t>
      </w:r>
      <w:r>
        <w:rPr>
          <w:rFonts w:ascii="Arial" w:cs="Arial" w:eastAsia="Arial" w:hAnsi="Arial"/>
          <w:sz w:val="22"/>
          <w:szCs w:val="22"/>
        </w:rPr>
        <w:t xml:space="preserve">Finalizing saves a complete record of the year: data, settings, results, lockstep decisions and the audit log. A finalized year cannot be changed unless an administrator reopens it with a password and gives a written reason.</w:t>
      </w:r>
    </w:p>
    <w:p>
      <w:pPr>
        <w:keepNext/>
        <w:spacing w:after="80" w:before="200"/>
      </w:pPr>
      <w:r>
        <w:rPr>
          <w:rFonts w:ascii="Arial" w:cs="Arial" w:eastAsia="Arial" w:hAnsi="Arial"/>
          <w:b/>
          <w:bCs/>
          <w:color w:val="1F3864"/>
          <w:sz w:val="24"/>
          <w:szCs w:val="24"/>
        </w:rPr>
        <w:t xml:space="preserve">Matters for the committee</w:t>
      </w:r>
    </w:p>
    <w:p>
      <w:pPr>
        <w:spacing w:after="120"/>
      </w:pPr>
      <w:r>
        <w:rPr>
          <w:rFonts w:ascii="Arial" w:cs="Arial" w:eastAsia="Arial" w:hAnsi="Arial"/>
          <w:sz w:val="22"/>
          <w:szCs w:val="22"/>
        </w:rPr>
        <w:t xml:space="preserve">The program applies defaults for several points that the policy does not settle. Each is a setting in the program, but the committee should confirm them formally:</w:t>
      </w:r>
    </w:p>
    <w:p>
      <w:pPr>
        <w:pStyle w:val="ListParagraph"/>
        <w:numPr>
          <w:ilvl w:val="0"/>
          <w:numId w:val="2"/>
        </w:numPr>
        <w:spacing w:after="60"/>
      </w:pPr>
      <w:r>
        <w:rPr>
          <w:rFonts w:ascii="Arial" w:cs="Arial" w:eastAsia="Arial" w:hAnsi="Arial"/>
          <w:sz w:val="22"/>
          <w:szCs w:val="22"/>
        </w:rPr>
        <w:t xml:space="preserve">Collections with no recorded hours: the 70% working credit is currently left unallocated.</w:t>
      </w:r>
    </w:p>
    <w:p>
      <w:pPr>
        <w:pStyle w:val="ListParagraph"/>
        <w:numPr>
          <w:ilvl w:val="0"/>
          <w:numId w:val="2"/>
        </w:numPr>
        <w:spacing w:after="60"/>
      </w:pPr>
      <w:r>
        <w:rPr>
          <w:rFonts w:ascii="Arial" w:cs="Arial" w:eastAsia="Arial" w:hAnsi="Arial"/>
          <w:sz w:val="22"/>
          <w:szCs w:val="22"/>
        </w:rPr>
        <w:t xml:space="preserve">Refunds and negative fee allocations: currently excluded for review rather than netted.</w:t>
      </w:r>
    </w:p>
    <w:p>
      <w:pPr>
        <w:pStyle w:val="ListParagraph"/>
        <w:numPr>
          <w:ilvl w:val="0"/>
          <w:numId w:val="2"/>
        </w:numPr>
        <w:spacing w:after="60"/>
      </w:pPr>
      <w:r>
        <w:rPr>
          <w:rFonts w:ascii="Arial" w:cs="Arial" w:eastAsia="Arial" w:hAnsi="Arial"/>
          <w:sz w:val="22"/>
          <w:szCs w:val="22"/>
        </w:rPr>
        <w:t xml:space="preserve">Timing: credit is given in the year a payment is collected, not the year the work was done.</w:t>
      </w:r>
    </w:p>
    <w:p>
      <w:pPr>
        <w:pStyle w:val="ListParagraph"/>
        <w:numPr>
          <w:ilvl w:val="0"/>
          <w:numId w:val="2"/>
        </w:numPr>
        <w:spacing w:after="60"/>
      </w:pPr>
      <w:r>
        <w:rPr>
          <w:rFonts w:ascii="Arial" w:cs="Arial" w:eastAsia="Arial" w:hAnsi="Arial"/>
          <w:sz w:val="22"/>
          <w:szCs w:val="22"/>
        </w:rPr>
        <w:t xml:space="preserve">Departed partners: credit attributed to them is shown but not reallocated.</w:t>
      </w:r>
    </w:p>
    <w:p>
      <w:pPr>
        <w:pStyle w:val="ListParagraph"/>
        <w:numPr>
          <w:ilvl w:val="0"/>
          <w:numId w:val="2"/>
        </w:numPr>
        <w:spacing w:after="60"/>
      </w:pPr>
      <w:r>
        <w:rPr>
          <w:rFonts w:ascii="Arial" w:cs="Arial" w:eastAsia="Arial" w:hAnsi="Arial"/>
          <w:sz w:val="22"/>
          <w:szCs w:val="22"/>
        </w:rPr>
        <w:t xml:space="preserve">Who holds the administrator password and who may enter overrides.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2026-10-08T18:48:00.585Z</dcterms:created>
  <dcterms:modified xsi:type="dcterms:W3CDTF">2026-10-08T18:48:00.585Z</dcterms:modified>
</cp:coreProperties>
</file>

<file path=docProps/custom.xml><?xml version="1.0" encoding="utf-8"?>
<Properties xmlns="http://schemas.openxmlformats.org/officeDocument/2006/custom-properties" xmlns:vt="http://schemas.openxmlformats.org/officeDocument/2006/docPropsVTypes"/>
</file>