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1F3864"/>
          <w:sz w:val="32"/>
          <w:szCs w:val="32"/>
        </w:rPr>
        <w:t xml:space="preserve">MEMORANDUM</w:t>
      </w:r>
    </w:p>
    <w:p>
      <w:pPr>
        <w:tabs>
          <w:tab w:val="left" w:pos="1300"/>
        </w:tabs>
        <w:spacing w:after="60"/>
      </w:pPr>
      <w:r>
        <w:rPr>
          <w:rFonts w:ascii="Arial" w:cs="Arial" w:eastAsia="Arial" w:hAnsi="Arial"/>
          <w:b/>
          <w:bCs/>
          <w:sz w:val="22"/>
          <w:szCs w:val="22"/>
        </w:rPr>
        <w:t xml:space="preserve">To:</w:t>
      </w:r>
      <w:r>
        <w:rPr>
          <w:rFonts w:ascii="Arial" w:cs="Arial" w:eastAsia="Arial" w:hAnsi="Arial"/>
          <w:sz w:val="22"/>
          <w:szCs w:val="22"/>
        </w:rPr>
        <w:t xml:space="preserve">	Compensation Committee</w:t>
      </w:r>
    </w:p>
    <w:p>
      <w:pPr>
        <w:tabs>
          <w:tab w:val="left" w:pos="1300"/>
        </w:tabs>
        <w:spacing w:after="60"/>
      </w:pPr>
      <w:r>
        <w:rPr>
          <w:rFonts w:ascii="Arial" w:cs="Arial" w:eastAsia="Arial" w:hAnsi="Arial"/>
          <w:b/>
          <w:bCs/>
          <w:sz w:val="22"/>
          <w:szCs w:val="22"/>
        </w:rPr>
        <w:t xml:space="preserve">From:</w:t>
      </w:r>
      <w:r>
        <w:rPr>
          <w:rFonts w:ascii="Arial" w:cs="Arial" w:eastAsia="Arial" w:hAnsi="Arial"/>
          <w:sz w:val="22"/>
          <w:szCs w:val="22"/>
        </w:rPr>
        <w:t xml:space="preserve">	</w:t>
      </w:r>
    </w:p>
    <w:p>
      <w:pPr>
        <w:tabs>
          <w:tab w:val="left" w:pos="1300"/>
        </w:tabs>
        <w:spacing w:after="60"/>
      </w:pPr>
      <w:r>
        <w:rPr>
          <w:rFonts w:ascii="Arial" w:cs="Arial" w:eastAsia="Arial" w:hAnsi="Arial"/>
          <w:b/>
          <w:bCs/>
          <w:sz w:val="22"/>
          <w:szCs w:val="22"/>
        </w:rPr>
        <w:t xml:space="preserve">Date:</w:t>
      </w:r>
      <w:r>
        <w:rPr>
          <w:rFonts w:ascii="Arial" w:cs="Arial" w:eastAsia="Arial" w:hAnsi="Arial"/>
          <w:sz w:val="22"/>
          <w:szCs w:val="22"/>
        </w:rPr>
        <w:t xml:space="preserve">	</w:t>
      </w:r>
    </w:p>
    <w:p>
      <w:pPr>
        <w:pBdr>
          <w:bottom w:val="single" w:color="1F3864" w:sz="8" w:space="6"/>
        </w:pBdr>
        <w:tabs>
          <w:tab w:val="left" w:pos="1300"/>
        </w:tabs>
        <w:spacing w:after="240"/>
      </w:pPr>
      <w:r>
        <w:rPr>
          <w:rFonts w:ascii="Arial" w:cs="Arial" w:eastAsia="Arial" w:hAnsi="Arial"/>
          <w:b/>
          <w:bCs/>
          <w:sz w:val="22"/>
          <w:szCs w:val="22"/>
        </w:rPr>
        <w:t xml:space="preserve">Re:</w:t>
      </w:r>
      <w:r>
        <w:rPr>
          <w:rFonts w:ascii="Arial" w:cs="Arial" w:eastAsia="Arial" w:hAnsi="Arial"/>
          <w:sz w:val="22"/>
          <w:szCs w:val="22"/>
        </w:rPr>
        <w:t xml:space="preserve">	Alternate compensation program: 20% equal / 80% EWYK</w:t>
      </w:r>
    </w:p>
    <w:p>
      <w:pPr>
        <w:keepNext/>
        <w:spacing w:after="80" w:before="200"/>
      </w:pPr>
      <w:r>
        <w:rPr>
          <w:rFonts w:ascii="Arial" w:cs="Arial" w:eastAsia="Arial" w:hAnsi="Arial"/>
          <w:b/>
          <w:bCs/>
          <w:color w:val="1F3864"/>
          <w:sz w:val="24"/>
          <w:szCs w:val="24"/>
        </w:rPr>
        <w:t xml:space="preserve">Summary</w:t>
      </w:r>
    </w:p>
    <w:p>
      <w:pPr>
        <w:spacing w:after="120"/>
      </w:pPr>
      <w:r>
        <w:rPr>
          <w:rFonts w:ascii="Arial" w:cs="Arial" w:eastAsia="Arial" w:hAnsi="Arial"/>
          <w:sz w:val="22"/>
          <w:szCs w:val="22"/>
        </w:rPr>
        <w:t xml:space="preserve">Alongside the program for the current 20% equal / 40% EWYK / 40% lockstep system, we now have an alternate version that runs the same calculation under a two-part model: 20% of the distributable pool divided equally among active partners and 80% allocated by EWYK performance, with EWYK credit split 30% to originating partners and 70% to working partners by default. There is no lockstep component.</w:t>
      </w:r>
    </w:p>
    <w:p>
      <w:pPr>
        <w:spacing w:after="120"/>
      </w:pPr>
      <w:r>
        <w:rPr>
          <w:rFonts w:ascii="Arial" w:cs="Arial" w:eastAsia="Arial" w:hAnsi="Arial"/>
          <w:sz w:val="22"/>
          <w:szCs w:val="22"/>
        </w:rPr>
        <w:t xml:space="preserve">The alternate version uses the same TimeSolv data, the same crediting and attribution rules, and the same controls as the current program. It lets the committee run both models on identical data and compare the results partner by partner before deciding whether to adopt the change.</w:t>
      </w:r>
    </w:p>
    <w:p>
      <w:pPr>
        <w:spacing w:after="120"/>
      </w:pPr>
      <w:r>
        <w:rPr>
          <w:rFonts w:ascii="Arial" w:cs="Arial" w:eastAsia="Arial" w:hAnsi="Arial"/>
          <w:sz w:val="22"/>
          <w:szCs w:val="22"/>
        </w:rPr>
        <w:t xml:space="preserve">The program runs on a single office computer. Nothing is sent outside the firm, and all data is kept in a local database file. The two versions keep separate data, so testing one never affects the other, and both can be open at the same time for side-by-side comparison.</w:t>
      </w:r>
    </w:p>
    <w:p>
      <w:pPr>
        <w:keepNext/>
        <w:spacing w:after="80" w:before="200"/>
      </w:pPr>
      <w:r>
        <w:rPr>
          <w:rFonts w:ascii="Arial" w:cs="Arial" w:eastAsia="Arial" w:hAnsi="Arial"/>
          <w:b/>
          <w:bCs/>
          <w:color w:val="1F3864"/>
          <w:sz w:val="24"/>
          <w:szCs w:val="24"/>
        </w:rPr>
        <w:t xml:space="preserve">What the program does</w:t>
      </w:r>
    </w:p>
    <w:p>
      <w:pPr>
        <w:pStyle w:val="ListParagraph"/>
        <w:numPr>
          <w:ilvl w:val="0"/>
          <w:numId w:val="2"/>
        </w:numPr>
        <w:spacing w:after="60"/>
      </w:pPr>
      <w:r>
        <w:rPr>
          <w:rFonts w:ascii="Arial" w:cs="Arial" w:eastAsia="Arial" w:hAnsi="Arial"/>
          <w:b/>
          <w:bCs/>
          <w:sz w:val="22"/>
          <w:szCs w:val="22"/>
        </w:rPr>
        <w:t xml:space="preserve">Imports TimeSolv data. </w:t>
      </w:r>
      <w:r>
        <w:rPr>
          <w:rFonts w:ascii="Arial" w:cs="Arial" w:eastAsia="Arial" w:hAnsi="Arial"/>
          <w:sz w:val="22"/>
          <w:szCs w:val="22"/>
        </w:rPr>
        <w:t xml:space="preserve">Payment allocations, time entries, matters and timekeepers are uploaded as CSV or Excel files. The program recognises TimeSolv column names automatically, remembers the mapping for next time, and rejects bad rows with a message naming the row and the problem.</w:t>
      </w:r>
    </w:p>
    <w:p>
      <w:pPr>
        <w:pStyle w:val="ListParagraph"/>
        <w:numPr>
          <w:ilvl w:val="0"/>
          <w:numId w:val="2"/>
        </w:numPr>
        <w:spacing w:after="60"/>
      </w:pPr>
      <w:r>
        <w:rPr>
          <w:rFonts w:ascii="Arial" w:cs="Arial" w:eastAsia="Arial" w:hAnsi="Arial"/>
          <w:b/>
          <w:bCs/>
          <w:sz w:val="22"/>
          <w:szCs w:val="22"/>
        </w:rPr>
        <w:t xml:space="preserve">Prevents double counting. </w:t>
      </w:r>
      <w:r>
        <w:rPr>
          <w:rFonts w:ascii="Arial" w:cs="Arial" w:eastAsia="Arial" w:hAnsi="Arial"/>
          <w:sz w:val="22"/>
          <w:szCs w:val="22"/>
        </w:rPr>
        <w:t xml:space="preserve">A payment or time entry that was already imported is skipped. Possible duplicate payments within a file are set aside for review rather than counted.</w:t>
      </w:r>
    </w:p>
    <w:p>
      <w:pPr>
        <w:pStyle w:val="ListParagraph"/>
        <w:numPr>
          <w:ilvl w:val="0"/>
          <w:numId w:val="2"/>
        </w:numPr>
        <w:spacing w:after="60"/>
      </w:pPr>
      <w:r>
        <w:rPr>
          <w:rFonts w:ascii="Arial" w:cs="Arial" w:eastAsia="Arial" w:hAnsi="Arial"/>
          <w:b/>
          <w:bCs/>
          <w:sz w:val="22"/>
          <w:szCs w:val="22"/>
        </w:rPr>
        <w:t xml:space="preserve">Applies the 20 / 80 model. </w:t>
      </w:r>
      <w:r>
        <w:rPr>
          <w:rFonts w:ascii="Arial" w:cs="Arial" w:eastAsia="Arial" w:hAnsi="Arial"/>
          <w:sz w:val="22"/>
          <w:szCs w:val="22"/>
        </w:rPr>
        <w:t xml:space="preserve">Only collected professional fees earn credit; expenses, taxes, trust deposits, write-offs and void or out-of-period payments are excluded and listed. Each partner receives an equal share of the 20% pool plus a share of the 80% EWYK pool in proportion to their origination and working credit. All percentages are settings and can be changed.</w:t>
      </w:r>
    </w:p>
    <w:p>
      <w:pPr>
        <w:pStyle w:val="ListParagraph"/>
        <w:numPr>
          <w:ilvl w:val="0"/>
          <w:numId w:val="2"/>
        </w:numPr>
        <w:spacing w:after="60"/>
      </w:pPr>
      <w:r>
        <w:rPr>
          <w:rFonts w:ascii="Arial" w:cs="Arial" w:eastAsia="Arial" w:hAnsi="Arial"/>
          <w:b/>
          <w:bCs/>
          <w:sz w:val="22"/>
          <w:szCs w:val="22"/>
        </w:rPr>
        <w:t xml:space="preserve">Credits associate hours to the right partner. </w:t>
      </w:r>
      <w:r>
        <w:rPr>
          <w:rFonts w:ascii="Arial" w:cs="Arial" w:eastAsia="Arial" w:hAnsi="Arial"/>
          <w:sz w:val="22"/>
          <w:szCs w:val="22"/>
        </w:rPr>
        <w:t xml:space="preserve">Hours follow matter-specific assignments first, including split supervision and date ranges, and fall back to the matter’s supervising partner or the associate’s usual supervisor. Hours it cannot place are flagged, never assigned by guesswork.</w:t>
      </w:r>
    </w:p>
    <w:p>
      <w:pPr>
        <w:pStyle w:val="ListParagraph"/>
        <w:numPr>
          <w:ilvl w:val="0"/>
          <w:numId w:val="2"/>
        </w:numPr>
        <w:spacing w:after="60"/>
      </w:pPr>
      <w:r>
        <w:rPr>
          <w:rFonts w:ascii="Arial" w:cs="Arial" w:eastAsia="Arial" w:hAnsi="Arial"/>
          <w:b/>
          <w:bCs/>
          <w:sz w:val="22"/>
          <w:szCs w:val="22"/>
        </w:rPr>
        <w:t xml:space="preserve">Produces the Excel report: </w:t>
      </w:r>
      <w:r>
        <w:rPr>
          <w:rFonts w:ascii="Arial" w:cs="Arial" w:eastAsia="Arial" w:hAnsi="Arial"/>
          <w:sz w:val="22"/>
          <w:szCs w:val="22"/>
        </w:rPr>
        <w:t xml:space="preserve">12 sheets covering the summary, policy inputs, each partner’s compensation, the supporting credit detail, the imported data, exceptions, reconciliation and the audit log. Key figures are live formulas so they can be checked in Excel.</w:t>
      </w:r>
    </w:p>
    <w:p>
      <w:pPr>
        <w:keepNext/>
        <w:spacing w:after="80" w:before="200"/>
      </w:pPr>
      <w:r>
        <w:rPr>
          <w:rFonts w:ascii="Arial" w:cs="Arial" w:eastAsia="Arial" w:hAnsi="Arial"/>
          <w:b/>
          <w:bCs/>
          <w:color w:val="1F3864"/>
          <w:sz w:val="24"/>
          <w:szCs w:val="24"/>
        </w:rPr>
        <w:t xml:space="preserve">The screens</w:t>
      </w:r>
    </w:p>
    <w:p>
      <w:pPr>
        <w:spacing w:after="120"/>
      </w:pPr>
      <w:r>
        <w:rPr>
          <w:rFonts w:ascii="Arial" w:cs="Arial" w:eastAsia="Arial" w:hAnsi="Arial"/>
          <w:sz w:val="22"/>
          <w:szCs w:val="22"/>
        </w:rPr>
        <w:t xml:space="preserve">The program opens in a web browser and is organised into the following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tcPr>
          <w:p>
            <w:r>
              <w:rPr>
                <w:rFonts w:ascii="Arial" w:cs="Arial" w:eastAsia="Arial" w:hAnsi="Arial"/>
                <w:b/>
                <w:bCs/>
                <w:color w:val="FFFFFF"/>
                <w:sz w:val="20"/>
                <w:szCs w:val="20"/>
              </w:rPr>
              <w:t xml:space="preserve">Page</w:t>
            </w:r>
          </w:p>
        </w:tc>
        <w:tc>
          <w:tcPr>
            <w:tcW w:type="dxa" w:w="6760"/>
            <w:tcBorders>
              <w:top w:val="single" w:color="BFBFBF" w:sz="4"/>
              <w:left w:val="single" w:color="BFBFBF" w:sz="4"/>
              <w:bottom w:val="single" w:color="BFBFBF" w:sz="4"/>
              <w:right w:val="single" w:color="BFBFBF" w:sz="4"/>
            </w:tcBorders>
            <w:shd w:fill="1F3864" w:color="auto" w:val="clear"/>
            <w:tcMar>
              <w:top w:type="dxa" w:w="60"/>
              <w:left w:type="dxa" w:w="110"/>
              <w:bottom w:type="dxa" w:w="60"/>
              <w:right w:type="dxa" w:w="110"/>
            </w:tcMar>
          </w:tcPr>
          <w:p>
            <w:r>
              <w:rPr>
                <w:rFonts w:ascii="Arial" w:cs="Arial" w:eastAsia="Arial" w:hAnsi="Arial"/>
                <w:b/>
                <w:bCs/>
                <w:color w:val="FFFFFF"/>
                <w:sz w:val="20"/>
                <w:szCs w:val="20"/>
              </w:rPr>
              <w:t xml:space="preserve">What the committee uses it for</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bCs/>
                <w:sz w:val="19"/>
                <w:szCs w:val="19"/>
              </w:rPr>
              <w:t xml:space="preserve">Dashboard</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val="false"/>
                <w:bCs w:val="false"/>
                <w:sz w:val="19"/>
                <w:szCs w:val="19"/>
              </w:rPr>
              <w:t xml:space="preserve">Pools, collections, data-quality counts, reconciliation status, and any items blocking finalization.</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bCs/>
                <w:sz w:val="19"/>
                <w:szCs w:val="19"/>
              </w:rPr>
              <w:t xml:space="preserve">Firm Setup</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val="false"/>
                <w:bCs w:val="false"/>
                <w:sz w:val="19"/>
                <w:szCs w:val="19"/>
              </w:rPr>
              <w:t xml:space="preserve">Pool and policy percentages (20 / 80 and 30 / 70 by default), partner roster, timekeepers, matters and originators.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bCs/>
                <w:sz w:val="19"/>
                <w:szCs w:val="19"/>
              </w:rPr>
              <w:t xml:space="preserve">Imports</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val="false"/>
                <w:bCs w:val="false"/>
                <w:sz w:val="19"/>
                <w:szCs w:val="19"/>
              </w:rPr>
              <w:t xml:space="preserve">Upload TimeSolv exports, confirm column mapping, review validation results, and review possible duplicate payments.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bCs/>
                <w:sz w:val="19"/>
                <w:szCs w:val="19"/>
              </w:rPr>
              <w:t xml:space="preserve">Supervisory Mappings</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val="false"/>
                <w:bCs w:val="false"/>
                <w:sz w:val="19"/>
                <w:szCs w:val="19"/>
              </w:rPr>
              <w:t xml:space="preserve">Assign associate hours to partners by matter, split supervision, entry-level overrides, and exclusions.</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bCs/>
                <w:sz w:val="19"/>
                <w:szCs w:val="19"/>
              </w:rPr>
              <w:t xml:space="preserve">Compensation Results</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val="false"/>
                <w:bCs w:val="false"/>
                <w:sz w:val="19"/>
                <w:szCs w:val="19"/>
              </w:rPr>
              <w:t xml:space="preserve">Sortable partner table with the equal and EWYK components; drill-down by client, matter, collection and hours; Excel download.</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bCs/>
                <w:sz w:val="19"/>
                <w:szCs w:val="19"/>
              </w:rPr>
              <w:t xml:space="preserve">Audit &amp; Exceptions</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val="false"/>
                <w:bCs w:val="false"/>
                <w:sz w:val="19"/>
                <w:szCs w:val="19"/>
              </w:rPr>
              <w:t xml:space="preserve">Every unresolved or unusual item, the reconciliation checks, and the full audit log.</w:t>
            </w:r>
          </w:p>
        </w:tc>
      </w:tr>
      <w:tr>
        <w:trPr>
          <w:cantSplit/>
          <w:tblHeader w:val="false"/>
        </w:trPr>
        <w:tc>
          <w:tcPr>
            <w:tcW w:type="dxa" w:w="260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bCs/>
                <w:sz w:val="19"/>
                <w:szCs w:val="19"/>
              </w:rPr>
              <w:t xml:space="preserve">Finalize &amp; History</w:t>
            </w:r>
          </w:p>
        </w:tc>
        <w:tc>
          <w:tcPr>
            <w:tcW w:type="dxa" w:w="6760"/>
            <w:tcBorders>
              <w:top w:val="single" w:color="BFBFBF" w:sz="4"/>
              <w:left w:val="single" w:color="BFBFBF" w:sz="4"/>
              <w:bottom w:val="single" w:color="BFBFBF" w:sz="4"/>
              <w:right w:val="single" w:color="BFBFBF" w:sz="4"/>
            </w:tcBorders>
            <w:tcMar>
              <w:top w:type="dxa" w:w="60"/>
              <w:left w:type="dxa" w:w="110"/>
              <w:bottom w:type="dxa" w:w="60"/>
              <w:right w:type="dxa" w:w="110"/>
            </w:tcMar>
          </w:tcPr>
          <w:p>
            <w:r>
              <w:rPr>
                <w:rFonts w:ascii="Arial" w:cs="Arial" w:eastAsia="Arial" w:hAnsi="Arial"/>
                <w:b w:val="false"/>
                <w:bCs w:val="false"/>
                <w:sz w:val="19"/>
                <w:szCs w:val="19"/>
              </w:rPr>
              <w:t xml:space="preserve">Lock a completed year, reopen with the administrator password, and view prior years.</w:t>
            </w:r>
          </w:p>
        </w:tc>
      </w:tr>
    </w:tbl>
    <w:p>
      <w:pPr>
        <w:spacing w:after="60"/>
      </w:pPr>
      <w:r>
        <w:rPr>
          <w:rFonts w:ascii="Arial" w:cs="Arial" w:eastAsia="Arial" w:hAnsi="Arial"/>
          <w:sz w:val="22"/>
          <w:szCs w:val="22"/>
        </w:rPr>
        <w:t xml:space="preserve"/>
      </w:r>
    </w:p>
    <w:p>
      <w:pPr>
        <w:keepNext/>
        <w:spacing w:after="80" w:before="200"/>
      </w:pPr>
      <w:r>
        <w:rPr>
          <w:rFonts w:ascii="Arial" w:cs="Arial" w:eastAsia="Arial" w:hAnsi="Arial"/>
          <w:b/>
          <w:bCs/>
          <w:color w:val="1F3864"/>
          <w:sz w:val="24"/>
          <w:szCs w:val="24"/>
        </w:rPr>
        <w:t xml:space="preserve">The annual process</w:t>
      </w:r>
    </w:p>
    <w:p>
      <w:pPr>
        <w:pStyle w:val="ListParagraph"/>
        <w:numPr>
          <w:ilvl w:val="0"/>
          <w:numId w:val="3"/>
        </w:numPr>
        <w:spacing w:after="80"/>
      </w:pPr>
      <w:r>
        <w:rPr>
          <w:rFonts w:ascii="Arial" w:cs="Arial" w:eastAsia="Arial" w:hAnsi="Arial"/>
          <w:b/>
          <w:bCs/>
          <w:sz w:val="22"/>
          <w:szCs w:val="22"/>
        </w:rPr>
        <w:t xml:space="preserve">Set up the year. </w:t>
      </w:r>
      <w:r>
        <w:rPr>
          <w:rFonts w:ascii="Arial" w:cs="Arial" w:eastAsia="Arial" w:hAnsi="Arial"/>
          <w:sz w:val="22"/>
          <w:szCs w:val="22"/>
        </w:rPr>
        <w:t xml:space="preserve">Confirm the pool and policy settings, the partner roster, and matter originators. A new year can be started by copying the prior year’s setup.</w:t>
      </w:r>
    </w:p>
    <w:p>
      <w:pPr>
        <w:pStyle w:val="ListParagraph"/>
        <w:numPr>
          <w:ilvl w:val="0"/>
          <w:numId w:val="3"/>
        </w:numPr>
        <w:spacing w:after="80"/>
      </w:pPr>
      <w:r>
        <w:rPr>
          <w:rFonts w:ascii="Arial" w:cs="Arial" w:eastAsia="Arial" w:hAnsi="Arial"/>
          <w:b/>
          <w:bCs/>
          <w:sz w:val="22"/>
          <w:szCs w:val="22"/>
        </w:rPr>
        <w:t xml:space="preserve">Import the TimeSolv exports. </w:t>
      </w:r>
      <w:r>
        <w:rPr>
          <w:rFonts w:ascii="Arial" w:cs="Arial" w:eastAsia="Arial" w:hAnsi="Arial"/>
          <w:sz w:val="22"/>
          <w:szCs w:val="22"/>
        </w:rPr>
        <w:t xml:space="preserve">The recommended payment source is the Invoice Summary with Payment Allocations report.</w:t>
      </w:r>
    </w:p>
    <w:p>
      <w:pPr>
        <w:pStyle w:val="ListParagraph"/>
        <w:numPr>
          <w:ilvl w:val="0"/>
          <w:numId w:val="3"/>
        </w:numPr>
        <w:spacing w:after="80"/>
      </w:pPr>
      <w:r>
        <w:rPr>
          <w:rFonts w:ascii="Arial" w:cs="Arial" w:eastAsia="Arial" w:hAnsi="Arial"/>
          <w:b/>
          <w:bCs/>
          <w:sz w:val="22"/>
          <w:szCs w:val="22"/>
        </w:rPr>
        <w:t xml:space="preserve">Clear the exceptions. </w:t>
      </w:r>
      <w:r>
        <w:rPr>
          <w:rFonts w:ascii="Arial" w:cs="Arial" w:eastAsia="Arial" w:hAnsi="Arial"/>
          <w:sz w:val="22"/>
          <w:szCs w:val="22"/>
        </w:rPr>
        <w:t xml:space="preserve">The program lists anything that needs a decision, such as unassigned associate hours, matters without an originator, or possible duplicate payments, with instructions for fixing each one.</w:t>
      </w:r>
    </w:p>
    <w:p>
      <w:pPr>
        <w:pStyle w:val="ListParagraph"/>
        <w:numPr>
          <w:ilvl w:val="0"/>
          <w:numId w:val="3"/>
        </w:numPr>
        <w:spacing w:after="80"/>
      </w:pPr>
      <w:r>
        <w:rPr>
          <w:rFonts w:ascii="Arial" w:cs="Arial" w:eastAsia="Arial" w:hAnsi="Arial"/>
          <w:b/>
          <w:bCs/>
          <w:sz w:val="22"/>
          <w:szCs w:val="22"/>
        </w:rPr>
        <w:t xml:space="preserve">Review the results </w:t>
      </w:r>
      <w:r>
        <w:rPr>
          <w:rFonts w:ascii="Arial" w:cs="Arial" w:eastAsia="Arial" w:hAnsi="Arial"/>
          <w:sz w:val="22"/>
          <w:szCs w:val="22"/>
        </w:rPr>
        <w:t xml:space="preserve">on screen, drilling down into any partner, and download the Excel report for the committee.</w:t>
      </w:r>
    </w:p>
    <w:p>
      <w:pPr>
        <w:pStyle w:val="ListParagraph"/>
        <w:numPr>
          <w:ilvl w:val="0"/>
          <w:numId w:val="3"/>
        </w:numPr>
        <w:spacing w:after="80"/>
      </w:pPr>
      <w:r>
        <w:rPr>
          <w:rFonts w:ascii="Arial" w:cs="Arial" w:eastAsia="Arial" w:hAnsi="Arial"/>
          <w:b/>
          <w:bCs/>
          <w:sz w:val="22"/>
          <w:szCs w:val="22"/>
        </w:rPr>
        <w:t xml:space="preserve">Finalize the year. </w:t>
      </w:r>
      <w:r>
        <w:rPr>
          <w:rFonts w:ascii="Arial" w:cs="Arial" w:eastAsia="Arial" w:hAnsi="Arial"/>
          <w:sz w:val="22"/>
          <w:szCs w:val="22"/>
        </w:rPr>
        <w:t xml:space="preserve">This is only possible once no blocking exceptions remain and the totals reconcile to the pool.</w:t>
      </w:r>
    </w:p>
    <w:p>
      <w:pPr>
        <w:keepNext/>
        <w:spacing w:after="80" w:before="200"/>
      </w:pPr>
      <w:r>
        <w:rPr>
          <w:rFonts w:ascii="Arial" w:cs="Arial" w:eastAsia="Arial" w:hAnsi="Arial"/>
          <w:b/>
          <w:bCs/>
          <w:color w:val="1F3864"/>
          <w:sz w:val="24"/>
          <w:szCs w:val="24"/>
        </w:rPr>
        <w:t xml:space="preserve">Controls and safeguards</w:t>
      </w:r>
    </w:p>
    <w:p>
      <w:pPr>
        <w:pStyle w:val="ListParagraph"/>
        <w:numPr>
          <w:ilvl w:val="0"/>
          <w:numId w:val="2"/>
        </w:numPr>
        <w:spacing w:after="60"/>
      </w:pPr>
      <w:r>
        <w:rPr>
          <w:rFonts w:ascii="Arial" w:cs="Arial" w:eastAsia="Arial" w:hAnsi="Arial"/>
          <w:b/>
          <w:bCs/>
          <w:sz w:val="22"/>
          <w:szCs w:val="22"/>
        </w:rPr>
        <w:t xml:space="preserve">Exact arithmetic. </w:t>
      </w:r>
      <w:r>
        <w:rPr>
          <w:rFonts w:ascii="Arial" w:cs="Arial" w:eastAsia="Arial" w:hAnsi="Arial"/>
          <w:sz w:val="22"/>
          <w:szCs w:val="22"/>
        </w:rPr>
        <w:t xml:space="preserve">Amounts are calculated to the cent, and partner totals always add up exactly to the distributable pool. A reconciliation check confirms this every time.</w:t>
      </w:r>
    </w:p>
    <w:p>
      <w:pPr>
        <w:pStyle w:val="ListParagraph"/>
        <w:numPr>
          <w:ilvl w:val="0"/>
          <w:numId w:val="2"/>
        </w:numPr>
        <w:spacing w:after="60"/>
      </w:pPr>
      <w:r>
        <w:rPr>
          <w:rFonts w:ascii="Arial" w:cs="Arial" w:eastAsia="Arial" w:hAnsi="Arial"/>
          <w:b/>
          <w:bCs/>
          <w:sz w:val="22"/>
          <w:szCs w:val="22"/>
        </w:rPr>
        <w:t xml:space="preserve">Audit trail. </w:t>
      </w:r>
      <w:r>
        <w:rPr>
          <w:rFonts w:ascii="Arial" w:cs="Arial" w:eastAsia="Arial" w:hAnsi="Arial"/>
          <w:sz w:val="22"/>
          <w:szCs w:val="22"/>
        </w:rPr>
        <w:t xml:space="preserve">Every manual change, including settings, mappings, overrides and exclusions, is logged with the user’s name and the time. The original import files are kept.</w:t>
      </w:r>
    </w:p>
    <w:p>
      <w:pPr>
        <w:pStyle w:val="ListParagraph"/>
        <w:numPr>
          <w:ilvl w:val="0"/>
          <w:numId w:val="2"/>
        </w:numPr>
        <w:spacing w:after="60"/>
      </w:pPr>
      <w:r>
        <w:rPr>
          <w:rFonts w:ascii="Arial" w:cs="Arial" w:eastAsia="Arial" w:hAnsi="Arial"/>
          <w:b/>
          <w:bCs/>
          <w:sz w:val="22"/>
          <w:szCs w:val="22"/>
        </w:rPr>
        <w:t xml:space="preserve">Locked years. </w:t>
      </w:r>
      <w:r>
        <w:rPr>
          <w:rFonts w:ascii="Arial" w:cs="Arial" w:eastAsia="Arial" w:hAnsi="Arial"/>
          <w:sz w:val="22"/>
          <w:szCs w:val="22"/>
        </w:rPr>
        <w:t xml:space="preserve">Finalizing saves a complete record of the year: data, settings, results and the audit log. A finalized year cannot be changed unless an administrator reopens it with a password and gives a written reason.</w:t>
      </w:r>
    </w:p>
    <w:p>
      <w:pPr>
        <w:keepNext/>
        <w:spacing w:after="80" w:before="200"/>
      </w:pPr>
      <w:r>
        <w:rPr>
          <w:rFonts w:ascii="Arial" w:cs="Arial" w:eastAsia="Arial" w:hAnsi="Arial"/>
          <w:b/>
          <w:bCs/>
          <w:color w:val="1F3864"/>
          <w:sz w:val="24"/>
          <w:szCs w:val="24"/>
        </w:rPr>
        <w:t xml:space="preserve">Comparing the two models</w:t>
      </w:r>
    </w:p>
    <w:p>
      <w:pPr>
        <w:spacing w:after="120"/>
      </w:pPr>
      <w:r>
        <w:rPr>
          <w:rFonts w:ascii="Arial" w:cs="Arial" w:eastAsia="Arial" w:hAnsi="Arial"/>
          <w:sz w:val="22"/>
          <w:szCs w:val="22"/>
        </w:rPr>
        <w:t xml:space="preserve">Because both versions read the same TimeSolv exports, the committee can load the same year into each and compare the partner results directly. Points to note when comparing:</w:t>
      </w:r>
    </w:p>
    <w:p>
      <w:pPr>
        <w:pStyle w:val="ListParagraph"/>
        <w:numPr>
          <w:ilvl w:val="0"/>
          <w:numId w:val="2"/>
        </w:numPr>
        <w:spacing w:after="60"/>
      </w:pPr>
      <w:r>
        <w:rPr>
          <w:rFonts w:ascii="Arial" w:cs="Arial" w:eastAsia="Arial" w:hAnsi="Arial"/>
          <w:b/>
          <w:bCs/>
          <w:sz w:val="22"/>
          <w:szCs w:val="22"/>
        </w:rPr>
        <w:t xml:space="preserve">More weight on performance. </w:t>
      </w:r>
      <w:r>
        <w:rPr>
          <w:rFonts w:ascii="Arial" w:cs="Arial" w:eastAsia="Arial" w:hAnsi="Arial"/>
          <w:sz w:val="22"/>
          <w:szCs w:val="22"/>
        </w:rPr>
        <w:t xml:space="preserve">Moving the 40% lockstep pool into EWYK doubles the amount that follows origination and working credit, so results become more sensitive to a single year’s collections, to originator assignments and to how associate hours are attributed.</w:t>
      </w:r>
    </w:p>
    <w:p>
      <w:pPr>
        <w:pStyle w:val="ListParagraph"/>
        <w:numPr>
          <w:ilvl w:val="0"/>
          <w:numId w:val="2"/>
        </w:numPr>
        <w:spacing w:after="60"/>
      </w:pPr>
      <w:r>
        <w:rPr>
          <w:rFonts w:ascii="Arial" w:cs="Arial" w:eastAsia="Arial" w:hAnsi="Arial"/>
          <w:b/>
          <w:bCs/>
          <w:sz w:val="22"/>
          <w:szCs w:val="22"/>
        </w:rPr>
        <w:t xml:space="preserve">No seniority or role component. </w:t>
      </w:r>
      <w:r>
        <w:rPr>
          <w:rFonts w:ascii="Arial" w:cs="Arial" w:eastAsia="Arial" w:hAnsi="Arial"/>
          <w:sz w:val="22"/>
          <w:szCs w:val="22"/>
        </w:rPr>
        <w:t xml:space="preserve">Without lockstep there is no built-in recognition of the Managing Partner’s role or of seniority. The Managing Partner flag is kept in the roster for reference only.</w:t>
      </w:r>
    </w:p>
    <w:p>
      <w:pPr>
        <w:pStyle w:val="ListParagraph"/>
        <w:numPr>
          <w:ilvl w:val="0"/>
          <w:numId w:val="2"/>
        </w:numPr>
        <w:spacing w:after="60"/>
      </w:pPr>
      <w:r>
        <w:rPr>
          <w:rFonts w:ascii="Arial" w:cs="Arial" w:eastAsia="Arial" w:hAnsi="Arial"/>
          <w:b/>
          <w:bCs/>
          <w:sz w:val="22"/>
          <w:szCs w:val="22"/>
        </w:rPr>
        <w:t xml:space="preserve">Same totals, different distribution. </w:t>
      </w:r>
      <w:r>
        <w:rPr>
          <w:rFonts w:ascii="Arial" w:cs="Arial" w:eastAsia="Arial" w:hAnsi="Arial"/>
          <w:sz w:val="22"/>
          <w:szCs w:val="22"/>
        </w:rPr>
        <w:t xml:space="preserve">Both versions distribute exactly the same pool. On the built-in sample data, for example, the Managing Partner receives about $931,000 under the alternate model versus about $1,236,000 under the current model.</w:t>
      </w:r>
    </w:p>
    <w:p>
      <w:pPr>
        <w:keepNext/>
        <w:spacing w:after="80" w:before="200"/>
      </w:pPr>
      <w:r>
        <w:rPr>
          <w:rFonts w:ascii="Arial" w:cs="Arial" w:eastAsia="Arial" w:hAnsi="Arial"/>
          <w:b/>
          <w:bCs/>
          <w:color w:val="1F3864"/>
          <w:sz w:val="24"/>
          <w:szCs w:val="24"/>
        </w:rPr>
        <w:t xml:space="preserve">Matters for the committee</w:t>
      </w:r>
    </w:p>
    <w:p>
      <w:pPr>
        <w:spacing w:after="120"/>
      </w:pPr>
      <w:r>
        <w:rPr>
          <w:rFonts w:ascii="Arial" w:cs="Arial" w:eastAsia="Arial" w:hAnsi="Arial"/>
          <w:sz w:val="22"/>
          <w:szCs w:val="22"/>
        </w:rPr>
        <w:t xml:space="preserve">In addition to the open policy points already identified for the current program (collections with no recorded hours, refunds, timing of credit, and departed partners), the alternate model raises:</w:t>
      </w:r>
    </w:p>
    <w:p>
      <w:pPr>
        <w:pStyle w:val="ListParagraph"/>
        <w:numPr>
          <w:ilvl w:val="0"/>
          <w:numId w:val="2"/>
        </w:numPr>
        <w:spacing w:after="60"/>
      </w:pPr>
      <w:r>
        <w:rPr>
          <w:rFonts w:ascii="Arial" w:cs="Arial" w:eastAsia="Arial" w:hAnsi="Arial"/>
          <w:sz w:val="22"/>
          <w:szCs w:val="22"/>
        </w:rPr>
        <w:t xml:space="preserve">Whether to adopt the 20 / 80 split, and whether to phase it in over more than one year.</w:t>
      </w:r>
    </w:p>
    <w:p>
      <w:pPr>
        <w:pStyle w:val="ListParagraph"/>
        <w:numPr>
          <w:ilvl w:val="0"/>
          <w:numId w:val="2"/>
        </w:numPr>
        <w:spacing w:after="60"/>
      </w:pPr>
      <w:r>
        <w:rPr>
          <w:rFonts w:ascii="Arial" w:cs="Arial" w:eastAsia="Arial" w:hAnsi="Arial"/>
          <w:sz w:val="22"/>
          <w:szCs w:val="22"/>
        </w:rPr>
        <w:t xml:space="preserve">Whether the Managing Partner’s role should be recognized in some other way.</w:t>
      </w:r>
    </w:p>
    <w:p>
      <w:pPr>
        <w:pStyle w:val="ListParagraph"/>
        <w:numPr>
          <w:ilvl w:val="0"/>
          <w:numId w:val="2"/>
        </w:numPr>
        <w:spacing w:after="60"/>
      </w:pPr>
      <w:r>
        <w:rPr>
          <w:rFonts w:ascii="Arial" w:cs="Arial" w:eastAsia="Arial" w:hAnsi="Arial"/>
          <w:sz w:val="22"/>
          <w:szCs w:val="22"/>
        </w:rPr>
        <w:t xml:space="preserve">Whether the 30 / 70 origination / working split remains appropriate now that EWYK carries 80% of the pool.</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2026-10-08T19:18:25.054Z</dcterms:created>
  <dcterms:modified xsi:type="dcterms:W3CDTF">2026-10-08T19:18:25.054Z</dcterms:modified>
</cp:coreProperties>
</file>

<file path=docProps/custom.xml><?xml version="1.0" encoding="utf-8"?>
<Properties xmlns="http://schemas.openxmlformats.org/officeDocument/2006/custom-properties" xmlns:vt="http://schemas.openxmlformats.org/officeDocument/2006/docPropsVTypes"/>
</file>