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D32"/>
          <w:sz w:val="22"/>
          <w:szCs w:val="22"/>
        </w:rPr>
        <w:t xml:space="preserve">Portal de orientación psicosocial UTS</w:t>
      </w:r>
    </w:p>
    <w:p>
      <w:pPr>
        <w:spacing w:after="200" w:before="120"/>
      </w:pPr>
      <w:r>
        <w:rPr>
          <w:b/>
          <w:bCs/>
          <w:color w:val="1B5E20"/>
          <w:sz w:val="46"/>
          <w:szCs w:val="46"/>
        </w:rPr>
        <w:t xml:space="preserve">Guía de despliegue</w:t>
      </w:r>
    </w:p>
    <w:p>
      <w:pPr>
        <w:spacing w:after="360"/>
      </w:pPr>
      <w:r>
        <w:rPr>
          <w:i/>
          <w:iCs/>
          <w:color w:val="444444"/>
          <w:sz w:val="26"/>
          <w:szCs w:val="26"/>
        </w:rPr>
        <w:t xml:space="preserve">Cómo está desplegado el portal en Render y cómo mantenerlo</w:t>
      </w:r>
    </w:p>
    <w:p>
      <w:pPr>
        <w:spacing w:after="160" w:line="276"/>
      </w:pPr>
      <w:r>
        <w:rPr>
          <w:color w:val="555555"/>
          <w:sz w:val="21"/>
          <w:szCs w:val="21"/>
        </w:rPr>
        <w:t xml:space="preserve">Proyecto de grado 65-2026-015 — repositorio: github.com/juanjjpabon/portal-uts</w:t>
      </w:r>
    </w:p>
    <w:p>
      <w:pPr>
        <w:spacing w:after="160" w:line="276"/>
      </w:pPr>
      <w:r>
        <w:rPr>
          <w:color w:val="555555"/>
          <w:sz w:val="21"/>
          <w:szCs w:val="21"/>
        </w:rPr>
        <w:t xml:space="preserve">Elaborado a partir de la configuración real verificada en la cuenta de Render del proyecto (servicio web y base de datos), no de un plan preliminar. Versión documentada: código del repositorio en el commit 065b2d5 (2 de octubre de 2026), el último del sistema evaluado en el informe F-DC-125.</w:t>
      </w:r>
    </w:p>
    <w:p>
      <w:pPr>
        <w:spacing w:after="200"/>
      </w:pPr>
    </w:p>
    <w:p>
      <w:pPr>
        <w:pStyle w:val="Heading2"/>
        <w:spacing w:after="140" w:before="320"/>
      </w:pPr>
      <w:r>
        <w:rPr>
          <w:b/>
          <w:bCs/>
          <w:color w:val="2E7D32"/>
          <w:sz w:val="24"/>
          <w:szCs w:val="24"/>
        </w:rPr>
        <w:t xml:space="preserve">Contenido de esta guía</w:t>
      </w:r>
    </w:p>
    <w:p>
      <w:pPr>
        <w:pStyle w:val="ListParagraph"/>
        <w:numPr>
          <w:ilvl w:val="0"/>
          <w:numId w:val="2"/>
        </w:numPr>
        <w:spacing w:after="80" w:line="276"/>
      </w:pPr>
      <w:r>
        <w:rPr>
          <w:sz w:val="22"/>
          <w:szCs w:val="22"/>
        </w:rPr>
        <w:t xml:space="preserve">1. Resumen de la infraestructura</w:t>
      </w:r>
    </w:p>
    <w:p>
      <w:pPr>
        <w:pStyle w:val="ListParagraph"/>
        <w:numPr>
          <w:ilvl w:val="0"/>
          <w:numId w:val="2"/>
        </w:numPr>
        <w:spacing w:after="80" w:line="276"/>
      </w:pPr>
      <w:r>
        <w:rPr>
          <w:sz w:val="22"/>
          <w:szCs w:val="22"/>
        </w:rPr>
        <w:t xml:space="preserve">2. Requisitos previos</w:t>
      </w:r>
    </w:p>
    <w:p>
      <w:pPr>
        <w:pStyle w:val="ListParagraph"/>
        <w:numPr>
          <w:ilvl w:val="0"/>
          <w:numId w:val="2"/>
        </w:numPr>
        <w:spacing w:after="80" w:line="276"/>
      </w:pPr>
      <w:r>
        <w:rPr>
          <w:sz w:val="22"/>
          <w:szCs w:val="22"/>
        </w:rPr>
        <w:t xml:space="preserve">3. Base de datos PostgreSQL</w:t>
      </w:r>
    </w:p>
    <w:p>
      <w:pPr>
        <w:pStyle w:val="ListParagraph"/>
        <w:numPr>
          <w:ilvl w:val="0"/>
          <w:numId w:val="2"/>
        </w:numPr>
        <w:spacing w:after="80" w:line="276"/>
      </w:pPr>
      <w:r>
        <w:rPr>
          <w:sz w:val="22"/>
          <w:szCs w:val="22"/>
        </w:rPr>
        <w:t xml:space="preserve">4. Servicio web (Docker)</w:t>
      </w:r>
    </w:p>
    <w:p>
      <w:pPr>
        <w:pStyle w:val="ListParagraph"/>
        <w:numPr>
          <w:ilvl w:val="0"/>
          <w:numId w:val="2"/>
        </w:numPr>
        <w:spacing w:after="80" w:line="276"/>
      </w:pPr>
      <w:r>
        <w:rPr>
          <w:sz w:val="22"/>
          <w:szCs w:val="22"/>
        </w:rPr>
        <w:t xml:space="preserve">5. Variables de entorno</w:t>
      </w:r>
    </w:p>
    <w:p>
      <w:pPr>
        <w:pStyle w:val="ListParagraph"/>
        <w:numPr>
          <w:ilvl w:val="0"/>
          <w:numId w:val="2"/>
        </w:numPr>
        <w:spacing w:after="80" w:line="276"/>
      </w:pPr>
      <w:r>
        <w:rPr>
          <w:sz w:val="22"/>
          <w:szCs w:val="22"/>
        </w:rPr>
        <w:t xml:space="preserve">6. Migraciones de base de datos (Flyway)</w:t>
      </w:r>
    </w:p>
    <w:p>
      <w:pPr>
        <w:pStyle w:val="ListParagraph"/>
        <w:numPr>
          <w:ilvl w:val="0"/>
          <w:numId w:val="2"/>
        </w:numPr>
        <w:spacing w:after="80" w:line="276"/>
      </w:pPr>
      <w:r>
        <w:rPr>
          <w:sz w:val="22"/>
          <w:szCs w:val="22"/>
        </w:rPr>
        <w:t xml:space="preserve">7. Despliegue continuo</w:t>
      </w:r>
    </w:p>
    <w:p>
      <w:pPr>
        <w:pStyle w:val="ListParagraph"/>
        <w:numPr>
          <w:ilvl w:val="0"/>
          <w:numId w:val="2"/>
        </w:numPr>
        <w:spacing w:after="80" w:line="276"/>
      </w:pPr>
      <w:r>
        <w:rPr>
          <w:sz w:val="22"/>
          <w:szCs w:val="22"/>
        </w:rPr>
        <w:t xml:space="preserve">8. Verificación después de un despliegue</w:t>
      </w:r>
    </w:p>
    <w:p>
      <w:pPr>
        <w:pStyle w:val="ListParagraph"/>
        <w:numPr>
          <w:ilvl w:val="0"/>
          <w:numId w:val="2"/>
        </w:numPr>
        <w:spacing w:after="80" w:line="276"/>
      </w:pPr>
      <w:r>
        <w:rPr>
          <w:sz w:val="22"/>
          <w:szCs w:val="22"/>
        </w:rPr>
        <w:t xml:space="preserve">9. Riesgos y mantenimiento futuro</w:t>
      </w:r>
    </w:p>
    <w:p>
      <w:pPr>
        <w:pStyle w:val="Heading1"/>
        <w:pageBreakBefore/>
        <w:pBdr>
          <w:bottom w:val="single" w:color="2E7D32" w:sz="6" w:space="4"/>
        </w:pBdr>
        <w:spacing w:after="200" w:before="420"/>
      </w:pPr>
      <w:r>
        <w:rPr>
          <w:b/>
          <w:bCs/>
          <w:color w:val="1B5E20"/>
          <w:sz w:val="30"/>
          <w:szCs w:val="30"/>
        </w:rPr>
        <w:t xml:space="preserve">1. Resumen de la infraestructura</w:t>
      </w:r>
    </w:p>
    <w:p>
      <w:pPr>
        <w:spacing w:after="160" w:line="276"/>
      </w:pPr>
      <w:r>
        <w:rPr>
          <w:sz w:val="22"/>
          <w:szCs w:val="22"/>
        </w:rPr>
        <w:t xml:space="preserve">El portal está desplegado en Render (render.com), con dos componentes independientes dentro del mismo workspace del proyecto:</w:t>
      </w:r>
    </w:p>
    <w:tbl>
      <w:tblPr>
        <w:tblW w:type="dxa" w:w="9360"/>
        <w:tblBorders>
          <w:top w:val="single" w:color="CFCFCF" w:sz="4"/>
          <w:left w:val="single" w:color="CFCFCF" w:sz="4"/>
          <w:bottom w:val="single" w:color="CFCFCF" w:sz="4"/>
          <w:right w:val="single" w:color="CFCFCF" w:sz="4"/>
          <w:insideH w:val="single" w:color="CFCFCF" w:sz="4"/>
          <w:insideV w:val="single" w:color="CFCFCF" w:sz="4"/>
        </w:tblBorders>
      </w:tblPr>
      <w:tblGrid>
        <w:gridCol w:w="2200"/>
        <w:gridCol w:w="7160"/>
      </w:tblGrid>
      <w:tr>
        <w:trPr>
          <w:tblHeader/>
        </w:trPr>
        <w:tc>
          <w:tcPr>
            <w:tcW w:type="dxa" w:w="2200"/>
            <w:shd w:fill="E8F5E9" w:color="auto" w:val="clear"/>
            <w:tcMar>
              <w:top w:type="dxa" w:w="90"/>
              <w:left w:type="dxa" w:w="120"/>
              <w:bottom w:type="dxa" w:w="90"/>
              <w:right w:type="dxa" w:w="120"/>
            </w:tcMar>
          </w:tcPr>
          <w:p>
            <w:r>
              <w:rPr>
                <w:b/>
                <w:bCs/>
                <w:sz w:val="21"/>
                <w:szCs w:val="21"/>
              </w:rPr>
              <w:t xml:space="preserve">Componente</w:t>
            </w:r>
          </w:p>
        </w:tc>
        <w:tc>
          <w:tcPr>
            <w:tcW w:type="dxa" w:w="7160"/>
            <w:shd w:fill="E8F5E9" w:color="auto" w:val="clear"/>
            <w:tcMar>
              <w:top w:type="dxa" w:w="90"/>
              <w:left w:type="dxa" w:w="120"/>
              <w:bottom w:type="dxa" w:w="90"/>
              <w:right w:type="dxa" w:w="120"/>
            </w:tcMar>
          </w:tcPr>
          <w:p>
            <w:r>
              <w:rPr>
                <w:b/>
                <w:bCs/>
                <w:sz w:val="21"/>
                <w:szCs w:val="21"/>
              </w:rPr>
              <w:t xml:space="preserve">Detalle</w:t>
            </w:r>
          </w:p>
        </w:tc>
      </w:tr>
      <w:tr>
        <w:tc>
          <w:tcPr>
            <w:tcW w:type="dxa" w:w="2200"/>
            <w:tcMar>
              <w:top w:type="dxa" w:w="90"/>
              <w:left w:type="dxa" w:w="120"/>
              <w:bottom w:type="dxa" w:w="90"/>
              <w:right w:type="dxa" w:w="120"/>
            </w:tcMar>
          </w:tcPr>
          <w:p>
            <w:pPr>
              <w:spacing w:after="40"/>
            </w:pPr>
            <w:r>
              <w:rPr>
                <w:sz w:val="21"/>
                <w:szCs w:val="21"/>
              </w:rPr>
              <w:t xml:space="preserve">Servicio web</w:t>
            </w:r>
          </w:p>
        </w:tc>
        <w:tc>
          <w:tcPr>
            <w:tcW w:type="dxa" w:w="7160"/>
            <w:tcMar>
              <w:top w:type="dxa" w:w="90"/>
              <w:left w:type="dxa" w:w="120"/>
              <w:bottom w:type="dxa" w:w="90"/>
              <w:right w:type="dxa" w:w="120"/>
            </w:tcMar>
          </w:tcPr>
          <w:p>
            <w:pPr>
              <w:spacing w:after="40"/>
            </w:pPr>
            <w:r>
              <w:rPr>
                <w:sz w:val="21"/>
                <w:szCs w:val="21"/>
              </w:rPr>
              <w:t xml:space="preserve">portal-uts (srv-dao0hd3tqb8s73deut5g) — contenedor Docker, plan Standard (1c-2g: 1 vCPU, 2 GB de RAM), activado por primera vez el 20/9/2026 y alternado desde entonces con el plan gratuito según las necesidades de evaluación (para controlar costos mientras el portal no tiene usuarios reales); confirmado en Standard al 1/10/2026. Región Oregon. URL pública: https://portal-uts-k888.onrender.com</w:t>
            </w:r>
          </w:p>
        </w:tc>
      </w:tr>
      <w:tr>
        <w:tc>
          <w:tcPr>
            <w:tcW w:type="dxa" w:w="2200"/>
            <w:tcMar>
              <w:top w:type="dxa" w:w="90"/>
              <w:left w:type="dxa" w:w="120"/>
              <w:bottom w:type="dxa" w:w="90"/>
              <w:right w:type="dxa" w:w="120"/>
            </w:tcMar>
          </w:tcPr>
          <w:p>
            <w:pPr>
              <w:spacing w:after="40"/>
            </w:pPr>
            <w:r>
              <w:rPr>
                <w:sz w:val="21"/>
                <w:szCs w:val="21"/>
              </w:rPr>
              <w:t xml:space="preserve">Base de datos</w:t>
            </w:r>
          </w:p>
        </w:tc>
        <w:tc>
          <w:tcPr>
            <w:tcW w:type="dxa" w:w="7160"/>
            <w:tcMar>
              <w:top w:type="dxa" w:w="90"/>
              <w:left w:type="dxa" w:w="120"/>
              <w:bottom w:type="dxa" w:w="90"/>
              <w:right w:type="dxa" w:w="120"/>
            </w:tcMar>
          </w:tcPr>
          <w:p>
            <w:pPr>
              <w:spacing w:after="40"/>
            </w:pPr>
            <w:r>
              <w:rPr>
                <w:sz w:val="21"/>
                <w:szCs w:val="21"/>
              </w:rPr>
              <w:t xml:space="preserve">portal-uts-db (dpg-dao0h2rtqb8s73detpdg-a) — PostgreSQL 18, plan gratuito, región Oregon.</w:t>
            </w:r>
          </w:p>
        </w:tc>
      </w:tr>
    </w:tbl>
    <w:p>
      <w:pPr>
        <w:spacing w:after="160" w:line="276"/>
      </w:pPr>
      <w:r>
        <w:rPr>
          <w:sz w:val="22"/>
          <w:szCs w:val="22"/>
        </w:rPr>
        <w:t xml:space="preserve">Ambos se definen como código en render.yaml, en la raíz del repositorio — el llamado “Blueprint” de Render — de modo que la infraestructura puede reconstruirse desde cero a partir del propio repositorio si hiciera falta.</w:t>
      </w:r>
    </w:p>
    <w:tbl>
      <w:tblPr>
        <w:tblW w:type="dxa" w:w="9360"/>
        <w:tblBorders>
          <w:top w:val="single" w:color="F0D686" w:sz="4"/>
          <w:left w:val="single" w:color="F0D686" w:sz="4"/>
          <w:bottom w:val="single" w:color="F0D686" w:sz="4"/>
          <w:right w:val="single" w:color="F0D686" w:sz="4"/>
          <w:insideH w:val="none" w:color="FFFFFF" w:sz="0"/>
          <w:insideV w:val="none" w:color="FFFFFF" w:sz="0"/>
        </w:tblBorders>
      </w:tblPr>
      <w:tblGrid>
        <w:gridCol w:w="9360"/>
      </w:tblGrid>
      <w:tr>
        <w:tc>
          <w:tcPr>
            <w:tcW w:type="dxa" w:w="9360"/>
            <w:shd w:fill="FFF6E0" w:color="auto" w:val="clear"/>
            <w:tcMar>
              <w:top w:type="dxa" w:w="140"/>
              <w:left w:type="dxa" w:w="180"/>
              <w:bottom w:type="dxa" w:w="140"/>
              <w:right w:type="dxa" w:w="180"/>
            </w:tcMar>
          </w:tcPr>
          <w:p>
            <w:pPr>
              <w:spacing w:after="60"/>
            </w:pPr>
            <w:r>
              <w:rPr>
                <w:b/>
                <w:bCs/>
                <w:sz w:val="22"/>
                <w:szCs w:val="22"/>
              </w:rPr>
              <w:t xml:space="preserve">Sobre las credenciales:</w:t>
            </w:r>
          </w:p>
          <w:p>
            <w:pPr>
              <w:spacing w:after="0"/>
            </w:pPr>
            <w:r>
              <w:rPr>
                <w:sz w:val="21"/>
                <w:szCs w:val="21"/>
              </w:rPr>
              <w:t xml:space="preserve">Esta guía no incluye contraseñas ni cadenas de conexión reales en ningún punto, por acuerdo del proyecto. Los valores reales viven únicamente en las variables de entorno del panel de Render (pestaña Environment de cada servicio) y no se guardan en el repositorio ni en ningún documento. Si se necesita un acceso de demostración para evaluar el panel, debe tratarse como una cuenta temporal, creada para ese fin y entregada por un medio separado de este documento; nunca se publica en el repositorio ni en los anexos del informe.</w:t>
            </w:r>
          </w:p>
        </w:tc>
      </w:tr>
    </w:tbl>
    <w:p>
      <w:pPr>
        <w:pStyle w:val="Heading1"/>
        <w:pageBreakBefore/>
        <w:pBdr>
          <w:bottom w:val="single" w:color="2E7D32" w:sz="6" w:space="4"/>
        </w:pBdr>
        <w:spacing w:after="200" w:before="420"/>
      </w:pPr>
      <w:r>
        <w:rPr>
          <w:b/>
          <w:bCs/>
          <w:color w:val="1B5E20"/>
          <w:sz w:val="30"/>
          <w:szCs w:val="30"/>
        </w:rPr>
        <w:t xml:space="preserve">2. Requisitos previos</w:t>
      </w:r>
    </w:p>
    <w:p>
      <w:pPr>
        <w:pStyle w:val="ListParagraph"/>
        <w:numPr>
          <w:ilvl w:val="0"/>
          <w:numId w:val="3"/>
        </w:numPr>
        <w:spacing w:after="80" w:line="276"/>
      </w:pPr>
      <w:r>
        <w:rPr>
          <w:sz w:val="22"/>
          <w:szCs w:val="22"/>
        </w:rPr>
        <w:t xml:space="preserve">Acceso a la cuenta de Render del proyecto (workspace “My Workspace”, tea-dao06trtqb8s73ddp4tg).</w:t>
      </w:r>
    </w:p>
    <w:p>
      <w:pPr>
        <w:pStyle w:val="ListParagraph"/>
        <w:numPr>
          <w:ilvl w:val="0"/>
          <w:numId w:val="3"/>
        </w:numPr>
        <w:spacing w:after="80" w:line="276"/>
      </w:pPr>
      <w:r>
        <w:rPr>
          <w:sz w:val="22"/>
          <w:szCs w:val="22"/>
        </w:rPr>
        <w:t xml:space="preserve">Acceso de escritura al repositorio de GitHub: github.com/juanjjpabon/portal-uts (rama main).</w:t>
      </w:r>
    </w:p>
    <w:p>
      <w:pPr>
        <w:pStyle w:val="ListParagraph"/>
        <w:numPr>
          <w:ilvl w:val="0"/>
          <w:numId w:val="3"/>
        </w:numPr>
        <w:spacing w:after="80" w:line="276"/>
      </w:pPr>
      <w:r>
        <w:rPr>
          <w:sz w:val="22"/>
          <w:szCs w:val="22"/>
        </w:rPr>
        <w:t xml:space="preserve">El valor de la contraseña inicial del administrador, para definirla como variable de entorno la primera vez (ver sección 5) — no hace falta si el servicio ya tiene usuarios creados.</w:t>
      </w:r>
    </w:p>
    <w:p>
      <w:pPr>
        <w:pStyle w:val="Heading1"/>
        <w:pageBreakBefore/>
        <w:pBdr>
          <w:bottom w:val="single" w:color="2E7D32" w:sz="6" w:space="4"/>
        </w:pBdr>
        <w:spacing w:after="200" w:before="420"/>
      </w:pPr>
      <w:r>
        <w:rPr>
          <w:b/>
          <w:bCs/>
          <w:color w:val="1B5E20"/>
          <w:sz w:val="30"/>
          <w:szCs w:val="30"/>
        </w:rPr>
        <w:t xml:space="preserve">3. Base de datos PostgreSQL</w:t>
      </w:r>
    </w:p>
    <w:p>
      <w:pPr>
        <w:pStyle w:val="Heading2"/>
        <w:spacing w:after="140" w:before="320"/>
      </w:pPr>
      <w:r>
        <w:rPr>
          <w:b/>
          <w:bCs/>
          <w:color w:val="2E7D32"/>
          <w:sz w:val="24"/>
          <w:szCs w:val="24"/>
        </w:rPr>
        <w:t xml:space="preserve">3.1 Cómo está creada</w:t>
      </w:r>
    </w:p>
    <w:p>
      <w:pPr>
        <w:spacing w:after="160" w:line="276"/>
      </w:pPr>
      <w:r>
        <w:rPr>
          <w:sz w:val="22"/>
          <w:szCs w:val="22"/>
        </w:rPr>
        <w:t xml:space="preserve">La base portal-uts-db se define en el bloque databases de render.yaml (plan free, nombre de base portal_uts, usuario portal_uts) y Render la aprovisiona automáticamente al aplicar el Blueprint. La cadena de conexión completa se expone al servicio web mediante la variable DATABASE_URL, enlazada automáticamente (fromDatabase en render.yaml) — nunca se escribe a mano.</w:t>
      </w:r>
    </w:p>
    <w:p>
      <w:pPr>
        <w:pStyle w:val="Heading2"/>
        <w:spacing w:after="140" w:before="320"/>
      </w:pPr>
      <w:r>
        <w:rPr>
          <w:b/>
          <w:bCs/>
          <w:color w:val="2E7D32"/>
          <w:sz w:val="24"/>
          <w:szCs w:val="24"/>
        </w:rPr>
        <w:t xml:space="preserve">3.2 Traducción de DATABASE_URL</w:t>
      </w:r>
    </w:p>
    <w:p>
      <w:pPr>
        <w:spacing w:after="160" w:line="276"/>
      </w:pPr>
      <w:r>
        <w:rPr>
          <w:sz w:val="22"/>
          <w:szCs w:val="22"/>
        </w:rPr>
        <w:t xml:space="preserve">Render entrega la conexión como una única URL. Como el resto de la configuración de application.yml espera host, puerto, nombre de base, usuario y contraseña por separado, la clase DatabaseUrlEnvironmentPostProcessor (paquete config) intercepta el arranque de Spring y traduce DATABASE_URL en esas variables individuales antes de que el resto de la aplicación las necesite. No requiere ninguna acción manual.</w:t>
      </w:r>
    </w:p>
    <w:tbl>
      <w:tblPr>
        <w:tblW w:type="dxa" w:w="9360"/>
        <w:tblBorders>
          <w:top w:val="single" w:color="F0D686" w:sz="4"/>
          <w:left w:val="single" w:color="F0D686" w:sz="4"/>
          <w:bottom w:val="single" w:color="F0D686" w:sz="4"/>
          <w:right w:val="single" w:color="F0D686" w:sz="4"/>
          <w:insideH w:val="none" w:color="FFFFFF" w:sz="0"/>
          <w:insideV w:val="none" w:color="FFFFFF" w:sz="0"/>
        </w:tblBorders>
      </w:tblPr>
      <w:tblGrid>
        <w:gridCol w:w="9360"/>
      </w:tblGrid>
      <w:tr>
        <w:tc>
          <w:tcPr>
            <w:tcW w:type="dxa" w:w="9360"/>
            <w:shd w:fill="FFF6E0" w:color="auto" w:val="clear"/>
            <w:tcMar>
              <w:top w:type="dxa" w:w="140"/>
              <w:left w:type="dxa" w:w="180"/>
              <w:bottom w:type="dxa" w:w="140"/>
              <w:right w:type="dxa" w:w="180"/>
            </w:tcMar>
          </w:tcPr>
          <w:p>
            <w:pPr>
              <w:spacing w:after="60"/>
            </w:pPr>
            <w:r>
              <w:rPr>
                <w:b/>
                <w:bCs/>
                <w:sz w:val="22"/>
                <w:szCs w:val="22"/>
              </w:rPr>
              <w:t xml:space="preserve">Riesgo importante — expiración del plan gratuito: la base de datos vence el 20 de octubre de 2026.</w:t>
            </w:r>
          </w:p>
          <w:p>
            <w:pPr>
              <w:spacing w:after="0"/>
            </w:pPr>
            <w:r>
              <w:rPr>
                <w:sz w:val="21"/>
                <w:szCs w:val="21"/>
              </w:rPr>
              <w:t xml:space="preserve">El plan gratuito de PostgreSQL en Render no es indefinido: Render fija una fecha de expiración al crear la base (verificado en el panel de Render: expiresAt = 2026-10-20). Pasada esa fecha, la base deja de estar disponible y, si no se actúa antes, los datos se pierden.</w:t>
            </w:r>
          </w:p>
          <w:p>
            <w:pPr>
              <w:spacing w:after="0"/>
            </w:pPr>
            <w:r>
              <w:rPr>
                <w:sz w:val="21"/>
                <w:szCs w:val="21"/>
              </w:rPr>
              <w:t xml:space="preserve">Antes de esa fecha hay que elegir una de dos opciones: pasar la base a un plan pago de Render (conserva los datos), o exportar un respaldo (pg_dump) y recrear una base gratuita nueva, reconectando el servicio web a la nueva cadena de conexión.</w:t>
            </w:r>
          </w:p>
          <w:p>
            <w:pPr>
              <w:spacing w:after="0"/>
            </w:pPr>
            <w:r>
              <w:rPr>
                <w:sz w:val="21"/>
                <w:szCs w:val="21"/>
              </w:rPr>
              <w:t xml:space="preserve">Se recomienda hacerlo con margen — no esperar al último día — y dejarlo anotado como pendiente en el plan de mantenimiento del proyecto.</w:t>
            </w:r>
          </w:p>
        </w:tc>
      </w:tr>
    </w:tbl>
    <w:p>
      <w:pPr>
        <w:pStyle w:val="Heading1"/>
        <w:pageBreakBefore/>
        <w:pBdr>
          <w:bottom w:val="single" w:color="2E7D32" w:sz="6" w:space="4"/>
        </w:pBdr>
        <w:spacing w:after="200" w:before="420"/>
      </w:pPr>
      <w:r>
        <w:rPr>
          <w:b/>
          <w:bCs/>
          <w:color w:val="1B5E20"/>
          <w:sz w:val="30"/>
          <w:szCs w:val="30"/>
        </w:rPr>
        <w:t xml:space="preserve">4. Servicio web (Docker)</w:t>
      </w:r>
    </w:p>
    <w:p>
      <w:pPr>
        <w:pStyle w:val="Heading2"/>
        <w:spacing w:after="140" w:before="320"/>
      </w:pPr>
      <w:r>
        <w:rPr>
          <w:b/>
          <w:bCs/>
          <w:color w:val="2E7D32"/>
          <w:sz w:val="24"/>
          <w:szCs w:val="24"/>
        </w:rPr>
        <w:t xml:space="preserve">4.1 Por qué Docker solo para el despliegue</w:t>
      </w:r>
    </w:p>
    <w:p>
      <w:pPr>
        <w:spacing w:after="160" w:line="276"/>
      </w:pPr>
      <w:r>
        <w:rPr>
          <w:sz w:val="22"/>
          <w:szCs w:val="22"/>
        </w:rPr>
        <w:t xml:space="preserve">El desarrollo local se hace directamente con el wrapper de Maven (./mvnw spring-boot:run), sin Docker. El Dockerfile existe únicamente para que Render sepa cómo construir y ejecutar la aplicación en Render.</w:t>
      </w:r>
    </w:p>
    <w:p>
      <w:pPr>
        <w:pStyle w:val="Heading2"/>
        <w:spacing w:after="140" w:before="320"/>
      </w:pPr>
      <w:r>
        <w:rPr>
          <w:b/>
          <w:bCs/>
          <w:color w:val="2E7D32"/>
          <w:sz w:val="24"/>
          <w:szCs w:val="24"/>
        </w:rPr>
        <w:t xml:space="preserve">4.2 Build en dos etapas</w:t>
      </w:r>
    </w:p>
    <w:p>
      <w:pPr>
        <w:pStyle w:val="ListParagraph"/>
        <w:numPr>
          <w:ilvl w:val="0"/>
          <w:numId w:val="4"/>
        </w:numPr>
        <w:spacing w:after="80" w:line="276"/>
      </w:pPr>
      <w:r>
        <w:rPr>
          <w:sz w:val="22"/>
          <w:szCs w:val="22"/>
        </w:rPr>
        <w:t xml:space="preserve">Etapa 1 (build): imagen eclipse-temurin:21-jdk, copia el wrapper y el pom.xml, luego el código fuente, y ejecuta ./mvnw clean package -DskipTests para generar el .jar.</w:t>
      </w:r>
    </w:p>
    <w:p>
      <w:pPr>
        <w:pStyle w:val="ListParagraph"/>
        <w:numPr>
          <w:ilvl w:val="0"/>
          <w:numId w:val="4"/>
        </w:numPr>
        <w:spacing w:after="80" w:line="276"/>
      </w:pPr>
      <w:r>
        <w:rPr>
          <w:sz w:val="22"/>
          <w:szCs w:val="22"/>
        </w:rPr>
        <w:t xml:space="preserve">Etapa 2 (runtime): imagen eclipse-temurin:21-jre, mucho más liviana, que solo copia el .jar ya construido desde la etapa anterior.</w:t>
      </w:r>
    </w:p>
    <w:p>
      <w:pPr>
        <w:pStyle w:val="ListParagraph"/>
        <w:numPr>
          <w:ilvl w:val="0"/>
          <w:numId w:val="4"/>
        </w:numPr>
        <w:spacing w:after="80" w:line="276"/>
      </w:pPr>
      <w:r>
        <w:rPr>
          <w:sz w:val="22"/>
          <w:szCs w:val="22"/>
        </w:rPr>
        <w:t xml:space="preserve">Se usa la misma versión y distribución de Java (Temurin 21) en ambas etapas y en el desarrollo local, para no repetir problemas de versión.</w:t>
      </w:r>
    </w:p>
    <w:p>
      <w:pPr>
        <w:pStyle w:val="ListParagraph"/>
        <w:numPr>
          <w:ilvl w:val="0"/>
          <w:numId w:val="4"/>
        </w:numPr>
        <w:spacing w:after="80" w:line="276"/>
      </w:pPr>
      <w:r>
        <w:rPr>
          <w:sz w:val="22"/>
          <w:szCs w:val="22"/>
        </w:rPr>
        <w:t xml:space="preserve">Las pruebas se omiten en el build de la imagen (-DskipTests) porque ya corren antes, en desarrollo o en integración continua; no tiene sentido repetirlas en cada build de despliegue.</w:t>
      </w:r>
    </w:p>
    <w:p>
      <w:pPr>
        <w:pStyle w:val="Heading2"/>
        <w:spacing w:after="140" w:before="320"/>
      </w:pPr>
      <w:r>
        <w:rPr>
          <w:b/>
          <w:bCs/>
          <w:color w:val="2E7D32"/>
          <w:sz w:val="24"/>
          <w:szCs w:val="24"/>
        </w:rPr>
        <w:t xml:space="preserve">4.3 Ajuste de memoria (JAVA_OPTS)</w:t>
      </w:r>
    </w:p>
    <w:p>
      <w:pPr>
        <w:spacing w:after="160" w:line="276"/>
      </w:pPr>
      <w:r>
        <w:rPr>
          <w:sz w:val="22"/>
          <w:szCs w:val="22"/>
        </w:rPr>
        <w:t xml:space="preserve">Estos valores se definieron mientras el servicio todavía estaba en el plan gratuito de Render, que limitaba el contenedor a 512 MB de RAM y muy poca CPU, y lo terminaba sin aviso si se excedía ese límite. Los valores de JAVA_OPTS del Dockerfile son el resultado de varias iteraciones reales — dos configuraciones anteriores fallaron de forma distinta antes de llegar a esta. El servicio se activó por primera vez en plan Standard (1c-2g: 1 vCPU, 2 GB de RAM) el 20/9/2026 y desde entonces alterna con el plan gratuito; el Dockerfile no se ha vuelto a ajustar desde entonces, así que sigue funcionando con la configuración conservadora pensada para 512 MB — no es un error, solo una oportunidad de ajuste todavía no aprovechada, ya que con más memoria disponible se podría permitir un heap mayor o un recolector de basura distinto:</w:t>
      </w:r>
    </w:p>
    <w:p>
      <w:pPr>
        <w:shd w:fill="F2F2F2" w:color="auto" w:val="clear"/>
        <w:spacing w:after="160" w:line="264"/>
      </w:pPr>
      <w:r>
        <w:rPr>
          <w:rFonts w:ascii="Consolas" w:cs="Consolas" w:eastAsia="Consolas" w:hAnsi="Consolas"/>
          <w:sz w:val="20"/>
          <w:szCs w:val="20"/>
        </w:rPr>
        <w:t xml:space="preserve">-XX:+UseSerialGC -XX:MaxRAMPercentage=58.0 -XX:MaxMetaspaceSize=100m</w:t>
        <w:br/>
        <w:t xml:space="preserve">-XX:TieredStopAtLevel=1 -XX:ReservedCodeCacheSize=48m -Xss256k</w:t>
        <w:br/>
        <w:t xml:space="preserve">-XX:+ExitOnOutOfMemoryError</w:t>
      </w:r>
    </w:p>
    <w:tbl>
      <w:tblPr>
        <w:tblW w:type="dxa" w:w="9360"/>
        <w:tblBorders>
          <w:top w:val="single" w:color="CFCFCF" w:sz="4"/>
          <w:left w:val="single" w:color="CFCFCF" w:sz="4"/>
          <w:bottom w:val="single" w:color="CFCFCF" w:sz="4"/>
          <w:right w:val="single" w:color="CFCFCF" w:sz="4"/>
          <w:insideH w:val="single" w:color="CFCFCF" w:sz="4"/>
          <w:insideV w:val="single" w:color="CFCFCF" w:sz="4"/>
        </w:tblBorders>
      </w:tblPr>
      <w:tblGrid>
        <w:gridCol w:w="3000"/>
        <w:gridCol w:w="6360"/>
      </w:tblGrid>
      <w:tr>
        <w:trPr>
          <w:tblHeader/>
        </w:trPr>
        <w:tc>
          <w:tcPr>
            <w:tcW w:type="dxa" w:w="3000"/>
            <w:shd w:fill="E8F5E9" w:color="auto" w:val="clear"/>
            <w:tcMar>
              <w:top w:type="dxa" w:w="90"/>
              <w:left w:type="dxa" w:w="120"/>
              <w:bottom w:type="dxa" w:w="90"/>
              <w:right w:type="dxa" w:w="120"/>
            </w:tcMar>
          </w:tcPr>
          <w:p>
            <w:r>
              <w:rPr>
                <w:b/>
                <w:bCs/>
                <w:sz w:val="21"/>
                <w:szCs w:val="21"/>
              </w:rPr>
              <w:t xml:space="preserve">Parámetro</w:t>
            </w:r>
          </w:p>
        </w:tc>
        <w:tc>
          <w:tcPr>
            <w:tcW w:type="dxa" w:w="6360"/>
            <w:shd w:fill="E8F5E9" w:color="auto" w:val="clear"/>
            <w:tcMar>
              <w:top w:type="dxa" w:w="90"/>
              <w:left w:type="dxa" w:w="120"/>
              <w:bottom w:type="dxa" w:w="90"/>
              <w:right w:type="dxa" w:w="120"/>
            </w:tcMar>
          </w:tcPr>
          <w:p>
            <w:r>
              <w:rPr>
                <w:b/>
                <w:bCs/>
                <w:sz w:val="21"/>
                <w:szCs w:val="21"/>
              </w:rPr>
              <w:t xml:space="preserve">Por qué</w:t>
            </w:r>
          </w:p>
        </w:tc>
      </w:tr>
      <w:tr>
        <w:tc>
          <w:tcPr>
            <w:tcW w:type="dxa" w:w="3000"/>
            <w:tcMar>
              <w:top w:type="dxa" w:w="90"/>
              <w:left w:type="dxa" w:w="120"/>
              <w:bottom w:type="dxa" w:w="90"/>
              <w:right w:type="dxa" w:w="120"/>
            </w:tcMar>
          </w:tcPr>
          <w:p>
            <w:pPr>
              <w:spacing w:after="40"/>
            </w:pPr>
            <w:r>
              <w:rPr>
                <w:sz w:val="21"/>
                <w:szCs w:val="21"/>
              </w:rPr>
              <w:t xml:space="preserve">MaxRAMPercentage=58.0</w:t>
            </w:r>
          </w:p>
        </w:tc>
        <w:tc>
          <w:tcPr>
            <w:tcW w:type="dxa" w:w="6360"/>
            <w:tcMar>
              <w:top w:type="dxa" w:w="90"/>
              <w:left w:type="dxa" w:w="120"/>
              <w:bottom w:type="dxa" w:w="90"/>
              <w:right w:type="dxa" w:w="120"/>
            </w:tcMar>
          </w:tcPr>
          <w:p>
            <w:pPr>
              <w:spacing w:after="40"/>
            </w:pPr>
            <w:r>
              <w:rPr>
                <w:sz w:val="21"/>
                <w:szCs w:val="21"/>
              </w:rPr>
              <w:t xml:space="preserve">El heap se calcula como porcentaje de la memoria que ve el contenedor (cgroup), no de la memoria del servidor físico completo — así el límite se ajusta si Render cambia el tamaño del plan.</w:t>
            </w:r>
          </w:p>
        </w:tc>
      </w:tr>
      <w:tr>
        <w:tc>
          <w:tcPr>
            <w:tcW w:type="dxa" w:w="3000"/>
            <w:tcMar>
              <w:top w:type="dxa" w:w="90"/>
              <w:left w:type="dxa" w:w="120"/>
              <w:bottom w:type="dxa" w:w="90"/>
              <w:right w:type="dxa" w:w="120"/>
            </w:tcMar>
          </w:tcPr>
          <w:p>
            <w:pPr>
              <w:spacing w:after="40"/>
            </w:pPr>
            <w:r>
              <w:rPr>
                <w:sz w:val="21"/>
                <w:szCs w:val="21"/>
              </w:rPr>
              <w:t xml:space="preserve">MaxMetaspaceSize=100m</w:t>
            </w:r>
          </w:p>
        </w:tc>
        <w:tc>
          <w:tcPr>
            <w:tcW w:type="dxa" w:w="6360"/>
            <w:tcMar>
              <w:top w:type="dxa" w:w="90"/>
              <w:left w:type="dxa" w:w="120"/>
              <w:bottom w:type="dxa" w:w="90"/>
              <w:right w:type="dxa" w:w="120"/>
            </w:tcMar>
          </w:tcPr>
          <w:p>
            <w:pPr>
              <w:spacing w:after="40"/>
            </w:pPr>
            <w:r>
              <w:rPr>
                <w:sz w:val="21"/>
                <w:szCs w:val="21"/>
              </w:rPr>
              <w:t xml:space="preserve">Tope para las clases cargadas dinámicamente (proxies de Spring, Hibernate); deja más margen de RAM disponible para el heap.</w:t>
            </w:r>
          </w:p>
        </w:tc>
      </w:tr>
      <w:tr>
        <w:tc>
          <w:tcPr>
            <w:tcW w:type="dxa" w:w="3000"/>
            <w:tcMar>
              <w:top w:type="dxa" w:w="90"/>
              <w:left w:type="dxa" w:w="120"/>
              <w:bottom w:type="dxa" w:w="90"/>
              <w:right w:type="dxa" w:w="120"/>
            </w:tcMar>
          </w:tcPr>
          <w:p>
            <w:pPr>
              <w:spacing w:after="40"/>
            </w:pPr>
            <w:r>
              <w:rPr>
                <w:sz w:val="21"/>
                <w:szCs w:val="21"/>
              </w:rPr>
              <w:t xml:space="preserve">TieredStopAtLevel=1 / ReservedCodeCacheSize=48m</w:t>
            </w:r>
          </w:p>
        </w:tc>
        <w:tc>
          <w:tcPr>
            <w:tcW w:type="dxa" w:w="6360"/>
            <w:tcMar>
              <w:top w:type="dxa" w:w="90"/>
              <w:left w:type="dxa" w:w="120"/>
              <w:bottom w:type="dxa" w:w="90"/>
              <w:right w:type="dxa" w:w="120"/>
            </w:tcMar>
          </w:tcPr>
          <w:p>
            <w:pPr>
              <w:spacing w:after="40"/>
            </w:pPr>
            <w:r>
              <w:rPr>
                <w:sz w:val="21"/>
                <w:szCs w:val="21"/>
              </w:rPr>
              <w:t xml:space="preserve">Limita la compilación JIT al nivel más simple (C1); con tan poca CPU disponible, el código compilado ocupa bastante menos así.</w:t>
            </w:r>
          </w:p>
        </w:tc>
      </w:tr>
      <w:tr>
        <w:tc>
          <w:tcPr>
            <w:tcW w:type="dxa" w:w="3000"/>
            <w:tcMar>
              <w:top w:type="dxa" w:w="90"/>
              <w:left w:type="dxa" w:w="120"/>
              <w:bottom w:type="dxa" w:w="90"/>
              <w:right w:type="dxa" w:w="120"/>
            </w:tcMar>
          </w:tcPr>
          <w:p>
            <w:pPr>
              <w:spacing w:after="40"/>
            </w:pPr>
            <w:r>
              <w:rPr>
                <w:sz w:val="21"/>
                <w:szCs w:val="21"/>
              </w:rPr>
              <w:t xml:space="preserve">Xss256k</w:t>
            </w:r>
          </w:p>
        </w:tc>
        <w:tc>
          <w:tcPr>
            <w:tcW w:type="dxa" w:w="6360"/>
            <w:tcMar>
              <w:top w:type="dxa" w:w="90"/>
              <w:left w:type="dxa" w:w="120"/>
              <w:bottom w:type="dxa" w:w="90"/>
              <w:right w:type="dxa" w:w="120"/>
            </w:tcMar>
          </w:tcPr>
          <w:p>
            <w:pPr>
              <w:spacing w:after="40"/>
            </w:pPr>
            <w:r>
              <w:rPr>
                <w:sz w:val="21"/>
                <w:szCs w:val="21"/>
              </w:rPr>
              <w:t xml:space="preserve">Reduce el tamaño de pila por hilo (el valor por defecto es mayor de lo que hace falta aquí).</w:t>
            </w:r>
          </w:p>
        </w:tc>
      </w:tr>
      <w:tr>
        <w:tc>
          <w:tcPr>
            <w:tcW w:type="dxa" w:w="3000"/>
            <w:tcMar>
              <w:top w:type="dxa" w:w="90"/>
              <w:left w:type="dxa" w:w="120"/>
              <w:bottom w:type="dxa" w:w="90"/>
              <w:right w:type="dxa" w:w="120"/>
            </w:tcMar>
          </w:tcPr>
          <w:p>
            <w:pPr>
              <w:spacing w:after="40"/>
            </w:pPr>
            <w:r>
              <w:rPr>
                <w:sz w:val="21"/>
                <w:szCs w:val="21"/>
              </w:rPr>
              <w:t xml:space="preserve">UseSerialGC</w:t>
            </w:r>
          </w:p>
        </w:tc>
        <w:tc>
          <w:tcPr>
            <w:tcW w:type="dxa" w:w="6360"/>
            <w:tcMar>
              <w:top w:type="dxa" w:w="90"/>
              <w:left w:type="dxa" w:w="120"/>
              <w:bottom w:type="dxa" w:w="90"/>
              <w:right w:type="dxa" w:w="120"/>
            </w:tcMar>
          </w:tcPr>
          <w:p>
            <w:pPr>
              <w:spacing w:after="40"/>
            </w:pPr>
            <w:r>
              <w:rPr>
                <w:sz w:val="21"/>
                <w:szCs w:val="21"/>
              </w:rPr>
              <w:t xml:space="preserve">Recolector de basura de una sola hebra, apropiado cuando no hay CPU de sobra para un recolector paralelo.</w:t>
            </w:r>
          </w:p>
        </w:tc>
      </w:tr>
      <w:tr>
        <w:tc>
          <w:tcPr>
            <w:tcW w:type="dxa" w:w="3000"/>
            <w:tcMar>
              <w:top w:type="dxa" w:w="90"/>
              <w:left w:type="dxa" w:w="120"/>
              <w:bottom w:type="dxa" w:w="90"/>
              <w:right w:type="dxa" w:w="120"/>
            </w:tcMar>
          </w:tcPr>
          <w:p>
            <w:pPr>
              <w:spacing w:after="40"/>
            </w:pPr>
            <w:r>
              <w:rPr>
                <w:sz w:val="21"/>
                <w:szCs w:val="21"/>
              </w:rPr>
              <w:t xml:space="preserve">ExitOnOutOfMemoryError</w:t>
            </w:r>
          </w:p>
        </w:tc>
        <w:tc>
          <w:tcPr>
            <w:tcW w:type="dxa" w:w="6360"/>
            <w:tcMar>
              <w:top w:type="dxa" w:w="90"/>
              <w:left w:type="dxa" w:w="120"/>
              <w:bottom w:type="dxa" w:w="90"/>
              <w:right w:type="dxa" w:w="120"/>
            </w:tcMar>
          </w:tcPr>
          <w:p>
            <w:pPr>
              <w:spacing w:after="40"/>
            </w:pPr>
            <w:r>
              <w:rPr>
                <w:sz w:val="21"/>
                <w:szCs w:val="21"/>
              </w:rPr>
              <w:t xml:space="preserve">Si de todas formas se agota la memoria, la JVM termina el proceso de inmediato para que Render reinicie el contenedor limpio, en vez de quedar colgado en un estado a medias.</w:t>
            </w:r>
          </w:p>
        </w:tc>
      </w:tr>
    </w:tbl>
    <w:tbl>
      <w:tblPr>
        <w:tblW w:type="dxa" w:w="9360"/>
        <w:tblBorders>
          <w:top w:val="single" w:color="F0D686" w:sz="4"/>
          <w:left w:val="single" w:color="F0D686" w:sz="4"/>
          <w:bottom w:val="single" w:color="F0D686" w:sz="4"/>
          <w:right w:val="single" w:color="F0D686" w:sz="4"/>
          <w:insideH w:val="none" w:color="FFFFFF" w:sz="0"/>
          <w:insideV w:val="none" w:color="FFFFFF" w:sz="0"/>
        </w:tblBorders>
      </w:tblPr>
      <w:tblGrid>
        <w:gridCol w:w="9360"/>
      </w:tblGrid>
      <w:tr>
        <w:tc>
          <w:tcPr>
            <w:tcW w:type="dxa" w:w="9360"/>
            <w:shd w:fill="FFF6E0" w:color="auto" w:val="clear"/>
            <w:tcMar>
              <w:top w:type="dxa" w:w="140"/>
              <w:left w:type="dxa" w:w="180"/>
              <w:bottom w:type="dxa" w:w="140"/>
              <w:right w:type="dxa" w:w="180"/>
            </w:tcMar>
          </w:tcPr>
          <w:p>
            <w:pPr>
              <w:spacing w:after="60"/>
            </w:pPr>
            <w:r>
              <w:rPr>
                <w:b/>
                <w:bCs/>
                <w:sz w:val="22"/>
                <w:szCs w:val="22"/>
              </w:rPr>
              <w:t xml:space="preserve">Si el servicio empieza a reiniciarse solo o a rechazar peticiones después de un cambio grande en el código, revisar primero los logs de Render buscando “OutOfMemoryError” — es la causa más probable dado el límite de 512 MB del plan gratuito, y ya ha pasado antes durante el desarrollo de este proyecto.</w:t>
            </w:r>
          </w:p>
        </w:tc>
      </w:tr>
    </w:tbl>
    <w:p>
      <w:pPr>
        <w:pStyle w:val="Heading1"/>
        <w:pageBreakBefore/>
        <w:pBdr>
          <w:bottom w:val="single" w:color="2E7D32" w:sz="6" w:space="4"/>
        </w:pBdr>
        <w:spacing w:after="200" w:before="420"/>
      </w:pPr>
      <w:r>
        <w:rPr>
          <w:b/>
          <w:bCs/>
          <w:color w:val="1B5E20"/>
          <w:sz w:val="30"/>
          <w:szCs w:val="30"/>
        </w:rPr>
        <w:t xml:space="preserve">5. Variables de entorno</w:t>
      </w:r>
    </w:p>
    <w:p>
      <w:pPr>
        <w:spacing w:after="160" w:line="276"/>
      </w:pPr>
      <w:r>
        <w:rPr>
          <w:sz w:val="22"/>
          <w:szCs w:val="22"/>
        </w:rPr>
        <w:t xml:space="preserve">Definidas en la pestaña Environment del servicio web, en el panel de Render (no en el repositorio):</w:t>
      </w:r>
    </w:p>
    <w:tbl>
      <w:tblPr>
        <w:tblW w:type="dxa" w:w="9360"/>
        <w:tblBorders>
          <w:top w:val="single" w:color="CFCFCF" w:sz="4"/>
          <w:left w:val="single" w:color="CFCFCF" w:sz="4"/>
          <w:bottom w:val="single" w:color="CFCFCF" w:sz="4"/>
          <w:right w:val="single" w:color="CFCFCF" w:sz="4"/>
          <w:insideH w:val="single" w:color="CFCFCF" w:sz="4"/>
          <w:insideV w:val="single" w:color="CFCFCF" w:sz="4"/>
        </w:tblBorders>
      </w:tblPr>
      <w:tblGrid>
        <w:gridCol w:w="2900"/>
        <w:gridCol w:w="6460"/>
      </w:tblGrid>
      <w:tr>
        <w:trPr>
          <w:tblHeader/>
        </w:trPr>
        <w:tc>
          <w:tcPr>
            <w:tcW w:type="dxa" w:w="2900"/>
            <w:shd w:fill="E8F5E9" w:color="auto" w:val="clear"/>
            <w:tcMar>
              <w:top w:type="dxa" w:w="90"/>
              <w:left w:type="dxa" w:w="120"/>
              <w:bottom w:type="dxa" w:w="90"/>
              <w:right w:type="dxa" w:w="120"/>
            </w:tcMar>
          </w:tcPr>
          <w:p>
            <w:r>
              <w:rPr>
                <w:b/>
                <w:bCs/>
                <w:sz w:val="21"/>
                <w:szCs w:val="21"/>
              </w:rPr>
              <w:t xml:space="preserve">Variable</w:t>
            </w:r>
          </w:p>
        </w:tc>
        <w:tc>
          <w:tcPr>
            <w:tcW w:type="dxa" w:w="6460"/>
            <w:shd w:fill="E8F5E9" w:color="auto" w:val="clear"/>
            <w:tcMar>
              <w:top w:type="dxa" w:w="90"/>
              <w:left w:type="dxa" w:w="120"/>
              <w:bottom w:type="dxa" w:w="90"/>
              <w:right w:type="dxa" w:w="120"/>
            </w:tcMar>
          </w:tcPr>
          <w:p>
            <w:r>
              <w:rPr>
                <w:b/>
                <w:bCs/>
                <w:sz w:val="21"/>
                <w:szCs w:val="21"/>
              </w:rPr>
              <w:t xml:space="preserve">Qué significa / de dónde sale</w:t>
            </w:r>
          </w:p>
        </w:tc>
      </w:tr>
      <w:tr>
        <w:tc>
          <w:tcPr>
            <w:tcW w:type="dxa" w:w="2900"/>
            <w:tcMar>
              <w:top w:type="dxa" w:w="90"/>
              <w:left w:type="dxa" w:w="120"/>
              <w:bottom w:type="dxa" w:w="90"/>
              <w:right w:type="dxa" w:w="120"/>
            </w:tcMar>
          </w:tcPr>
          <w:p>
            <w:pPr>
              <w:spacing w:after="40"/>
            </w:pPr>
            <w:r>
              <w:rPr>
                <w:sz w:val="21"/>
                <w:szCs w:val="21"/>
              </w:rPr>
              <w:t xml:space="preserve">DATABASE_​URL</w:t>
            </w:r>
          </w:p>
        </w:tc>
        <w:tc>
          <w:tcPr>
            <w:tcW w:type="dxa" w:w="6460"/>
            <w:tcMar>
              <w:top w:type="dxa" w:w="90"/>
              <w:left w:type="dxa" w:w="120"/>
              <w:bottom w:type="dxa" w:w="90"/>
              <w:right w:type="dxa" w:w="120"/>
            </w:tcMar>
          </w:tcPr>
          <w:p>
            <w:pPr>
              <w:spacing w:after="40"/>
            </w:pPr>
            <w:r>
              <w:rPr>
                <w:sz w:val="21"/>
                <w:szCs w:val="21"/>
              </w:rPr>
              <w:t xml:space="preserve">Enlazada automáticamente a la base portal-uts-db por Render (fromDatabase en render.yaml). No se edita a mano.</w:t>
            </w:r>
          </w:p>
        </w:tc>
      </w:tr>
      <w:tr>
        <w:tc>
          <w:tcPr>
            <w:tcW w:type="dxa" w:w="2900"/>
            <w:tcMar>
              <w:top w:type="dxa" w:w="90"/>
              <w:left w:type="dxa" w:w="120"/>
              <w:bottom w:type="dxa" w:w="90"/>
              <w:right w:type="dxa" w:w="120"/>
            </w:tcMar>
          </w:tcPr>
          <w:p>
            <w:pPr>
              <w:spacing w:after="40"/>
            </w:pPr>
            <w:r>
              <w:rPr>
                <w:sz w:val="21"/>
                <w:szCs w:val="21"/>
              </w:rPr>
              <w:t xml:space="preserve">PORTAL_​ADMIN_​INICIAL_​PASSWORD</w:t>
            </w:r>
          </w:p>
        </w:tc>
        <w:tc>
          <w:tcPr>
            <w:tcW w:type="dxa" w:w="6460"/>
            <w:tcMar>
              <w:top w:type="dxa" w:w="90"/>
              <w:left w:type="dxa" w:w="120"/>
              <w:bottom w:type="dxa" w:w="90"/>
              <w:right w:type="dxa" w:w="120"/>
            </w:tcMar>
          </w:tcPr>
          <w:p>
            <w:pPr>
              <w:spacing w:after="40"/>
            </w:pPr>
            <w:r>
              <w:rPr>
                <w:sz w:val="21"/>
                <w:szCs w:val="21"/>
              </w:rPr>
              <w:t xml:space="preserve">Contraseña del primer administrador. Marcada sync: false en render.yaml — es decir, Render la pide una sola vez por el panel y no la guarda en el repositorio. Solo se usa si la tabla usuario está vacía al arrancar; en un servicio ya inicializado no tiene efecto.</w:t>
            </w:r>
          </w:p>
        </w:tc>
      </w:tr>
      <w:tr>
        <w:tc>
          <w:tcPr>
            <w:tcW w:type="dxa" w:w="2900"/>
            <w:tcMar>
              <w:top w:type="dxa" w:w="90"/>
              <w:left w:type="dxa" w:w="120"/>
              <w:bottom w:type="dxa" w:w="90"/>
              <w:right w:type="dxa" w:w="120"/>
            </w:tcMar>
          </w:tcPr>
          <w:p>
            <w:pPr>
              <w:spacing w:after="40"/>
            </w:pPr>
            <w:r>
              <w:rPr>
                <w:sz w:val="21"/>
                <w:szCs w:val="21"/>
              </w:rPr>
              <w:t xml:space="preserve">SPRING_​PROFILES_​ACTIVE</w:t>
            </w:r>
          </w:p>
        </w:tc>
        <w:tc>
          <w:tcPr>
            <w:tcW w:type="dxa" w:w="6460"/>
            <w:tcMar>
              <w:top w:type="dxa" w:w="90"/>
              <w:left w:type="dxa" w:w="120"/>
              <w:bottom w:type="dxa" w:w="90"/>
              <w:right w:type="dxa" w:w="120"/>
            </w:tcMar>
          </w:tcPr>
          <w:p>
            <w:pPr>
              <w:spacing w:after="40"/>
            </w:pPr>
            <w:r>
              <w:rPr>
                <w:sz w:val="21"/>
                <w:szCs w:val="21"/>
              </w:rPr>
              <w:t xml:space="preserve">prod. Evita que se active el perfil dev (que en application-dev.yml desactiva la caché de plantillas y duplica el logueo de SQL) — el valor prod no activa nada especial por sí mismo, solo evita que dev se active por defecto.</w:t>
            </w:r>
          </w:p>
        </w:tc>
      </w:tr>
      <w:tr>
        <w:tc>
          <w:tcPr>
            <w:tcW w:type="dxa" w:w="2900"/>
            <w:tcMar>
              <w:top w:type="dxa" w:w="90"/>
              <w:left w:type="dxa" w:w="120"/>
              <w:bottom w:type="dxa" w:w="90"/>
              <w:right w:type="dxa" w:w="120"/>
            </w:tcMar>
          </w:tcPr>
          <w:p>
            <w:pPr>
              <w:spacing w:after="40"/>
            </w:pPr>
            <w:r>
              <w:rPr>
                <w:sz w:val="21"/>
                <w:szCs w:val="21"/>
              </w:rPr>
              <w:t xml:space="preserve">SPRING_​DATASOURCE_​HIKARI_​MAXIMUM_​POOL_​SIZE</w:t>
            </w:r>
          </w:p>
        </w:tc>
        <w:tc>
          <w:tcPr>
            <w:tcW w:type="dxa" w:w="6460"/>
            <w:tcMar>
              <w:top w:type="dxa" w:w="90"/>
              <w:left w:type="dxa" w:w="120"/>
              <w:bottom w:type="dxa" w:w="90"/>
              <w:right w:type="dxa" w:w="120"/>
            </w:tcMar>
          </w:tcPr>
          <w:p>
            <w:pPr>
              <w:spacing w:after="40"/>
            </w:pPr>
            <w:r>
              <w:rPr>
                <w:sz w:val="21"/>
                <w:szCs w:val="21"/>
              </w:rPr>
              <w:t xml:space="preserve">3. El valor por defecto de Spring (10 conexiones) está pensado para tráfico real; 3 es suficiente para el plan gratuito y dispara menos presión sobre la base de datos.</w:t>
            </w:r>
          </w:p>
        </w:tc>
      </w:tr>
      <w:tr>
        <w:tc>
          <w:tcPr>
            <w:tcW w:type="dxa" w:w="2900"/>
            <w:tcMar>
              <w:top w:type="dxa" w:w="90"/>
              <w:left w:type="dxa" w:w="120"/>
              <w:bottom w:type="dxa" w:w="90"/>
              <w:right w:type="dxa" w:w="120"/>
            </w:tcMar>
          </w:tcPr>
          <w:p>
            <w:pPr>
              <w:spacing w:after="40"/>
            </w:pPr>
            <w:r>
              <w:rPr>
                <w:sz w:val="21"/>
                <w:szCs w:val="21"/>
              </w:rPr>
              <w:t xml:space="preserve">SERVER_​TOMCAT_​THREADS_​MAX</w:t>
            </w:r>
          </w:p>
        </w:tc>
        <w:tc>
          <w:tcPr>
            <w:tcW w:type="dxa" w:w="6460"/>
            <w:tcMar>
              <w:top w:type="dxa" w:w="90"/>
              <w:left w:type="dxa" w:w="120"/>
              <w:bottom w:type="dxa" w:w="90"/>
              <w:right w:type="dxa" w:w="120"/>
            </w:tcMar>
          </w:tcPr>
          <w:p>
            <w:pPr>
              <w:spacing w:after="40"/>
            </w:pPr>
            <w:r>
              <w:rPr>
                <w:sz w:val="21"/>
                <w:szCs w:val="21"/>
              </w:rPr>
              <w:t xml:space="preserve">20. Igual que el punto anterior: el valor por defecto de Tomcat (200 hilos) es excesivo para el ~0.1 vCPU compartido del plan gratuito.</w:t>
            </w:r>
          </w:p>
        </w:tc>
      </w:tr>
      <w:tr>
        <w:tc>
          <w:tcPr>
            <w:tcW w:type="dxa" w:w="2900"/>
            <w:tcMar>
              <w:top w:type="dxa" w:w="90"/>
              <w:left w:type="dxa" w:w="120"/>
              <w:bottom w:type="dxa" w:w="90"/>
              <w:right w:type="dxa" w:w="120"/>
            </w:tcMar>
          </w:tcPr>
          <w:p>
            <w:pPr>
              <w:spacing w:after="40"/>
            </w:pPr>
            <w:r>
              <w:rPr>
                <w:sz w:val="21"/>
                <w:szCs w:val="21"/>
              </w:rPr>
              <w:t xml:space="preserve">PORT</w:t>
            </w:r>
          </w:p>
        </w:tc>
        <w:tc>
          <w:tcPr>
            <w:tcW w:type="dxa" w:w="6460"/>
            <w:tcMar>
              <w:top w:type="dxa" w:w="90"/>
              <w:left w:type="dxa" w:w="120"/>
              <w:bottom w:type="dxa" w:w="90"/>
              <w:right w:type="dxa" w:w="120"/>
            </w:tcMar>
          </w:tcPr>
          <w:p>
            <w:pPr>
              <w:spacing w:after="40"/>
            </w:pPr>
            <w:r>
              <w:rPr>
                <w:sz w:val="21"/>
                <w:szCs w:val="21"/>
              </w:rPr>
              <w:t xml:space="preserve">La asigna Render automáticamente; la aplicación la lee sola (server.port: ${PORT:8080}). No hace falta definirla a mano.</w:t>
            </w:r>
          </w:p>
        </w:tc>
      </w:tr>
    </w:tbl>
    <w:p>
      <w:pPr>
        <w:pStyle w:val="Heading1"/>
        <w:pageBreakBefore/>
        <w:pBdr>
          <w:bottom w:val="single" w:color="2E7D32" w:sz="6" w:space="4"/>
        </w:pBdr>
        <w:spacing w:after="200" w:before="420"/>
      </w:pPr>
      <w:r>
        <w:rPr>
          <w:b/>
          <w:bCs/>
          <w:color w:val="1B5E20"/>
          <w:sz w:val="30"/>
          <w:szCs w:val="30"/>
        </w:rPr>
        <w:t xml:space="preserve">6. Migraciones de base de datos (Flyway)</w:t>
      </w:r>
    </w:p>
    <w:p>
      <w:pPr>
        <w:spacing w:after="160" w:line="276"/>
      </w:pPr>
      <w:r>
        <w:rPr>
          <w:sz w:val="22"/>
          <w:szCs w:val="22"/>
        </w:rPr>
        <w:t xml:space="preserve">Las migraciones (V1 a V12, en src/main/resources/db/migration) se aplican automáticamente cada vez que arranca el servicio — no hace falta ninguna acción manual en Render ni conectarse a la base a mano. baseline-on-migrate está en false porque la base siempre se crea vacía por Flyway desde la V1; no hay un esquema previo que “liniar”.</w:t>
      </w:r>
    </w:p>
    <w:p>
      <w:pPr>
        <w:spacing w:after="160" w:line="276"/>
      </w:pPr>
      <w:r>
        <w:rPr>
          <w:sz w:val="22"/>
          <w:szCs w:val="22"/>
        </w:rPr>
        <w:t xml:space="preserve">Si un despliegue introduce una migración nueva, sucede así: Render construye la imagen con el .jar que incluye la migración nueva → al arrancar el contenedor, Flyway compara el historial en flyway_schema_history contra los scripts disponibles → aplica solo los que faltan, en orden. Si una migración falla, el servicio no llega a arrancar y el despliegue queda marcado como fallido en Render — es una protección, no un error a evitar de otra forma.</w:t>
      </w:r>
    </w:p>
    <w:p>
      <w:pPr>
        <w:pStyle w:val="Heading1"/>
        <w:pageBreakBefore/>
        <w:pBdr>
          <w:bottom w:val="single" w:color="2E7D32" w:sz="6" w:space="4"/>
        </w:pBdr>
        <w:spacing w:after="200" w:before="420"/>
      </w:pPr>
      <w:r>
        <w:rPr>
          <w:b/>
          <w:bCs/>
          <w:color w:val="1B5E20"/>
          <w:sz w:val="30"/>
          <w:szCs w:val="30"/>
        </w:rPr>
        <w:t xml:space="preserve">7. Despliegue continuo</w:t>
      </w:r>
    </w:p>
    <w:p>
      <w:pPr>
        <w:pStyle w:val="Heading2"/>
        <w:spacing w:after="140" w:before="320"/>
      </w:pPr>
      <w:r>
        <w:rPr>
          <w:b/>
          <w:bCs/>
          <w:color w:val="2E7D32"/>
          <w:sz w:val="24"/>
          <w:szCs w:val="24"/>
        </w:rPr>
        <w:t xml:space="preserve">7.1 Cómo se dispara un despliegue</w:t>
      </w:r>
    </w:p>
    <w:p>
      <w:pPr>
        <w:spacing w:after="160" w:line="276"/>
      </w:pPr>
      <w:r>
        <w:rPr>
          <w:sz w:val="22"/>
          <w:szCs w:val="22"/>
        </w:rPr>
        <w:t xml:space="preserve">El servicio tiene auto-despliegue activado sobre la rama main del repositorio: cualquier commit empujado a main dispara automáticamente un build y despliegue nuevo en Render. No hace falta entrar al panel para desplegar un cambio normal.</w:t>
      </w:r>
    </w:p>
    <w:p>
      <w:pPr>
        <w:pStyle w:val="ListParagraph"/>
        <w:numPr>
          <w:ilvl w:val="0"/>
          <w:numId w:val="5"/>
        </w:numPr>
        <w:spacing w:after="140" w:line="276"/>
      </w:pPr>
      <w:r>
        <w:rPr>
          <w:sz w:val="22"/>
          <w:szCs w:val="22"/>
        </w:rPr>
        <w:t xml:space="preserve">Confirmar que los cambios pasan las pruebas localmente (./mvnw test).</w:t>
      </w:r>
    </w:p>
    <w:p>
      <w:pPr>
        <w:pStyle w:val="ListParagraph"/>
        <w:numPr>
          <w:ilvl w:val="0"/>
          <w:numId w:val="5"/>
        </w:numPr>
        <w:spacing w:after="140" w:line="276"/>
      </w:pPr>
      <w:r>
        <w:rPr>
          <w:sz w:val="22"/>
          <w:szCs w:val="22"/>
        </w:rPr>
        <w:t xml:space="preserve">Hacer commit y push a main.</w:t>
      </w:r>
    </w:p>
    <w:p>
      <w:pPr>
        <w:pStyle w:val="ListParagraph"/>
        <w:numPr>
          <w:ilvl w:val="0"/>
          <w:numId w:val="5"/>
        </w:numPr>
        <w:spacing w:after="140" w:line="276"/>
      </w:pPr>
      <w:r>
        <w:rPr>
          <w:sz w:val="22"/>
          <w:szCs w:val="22"/>
        </w:rPr>
        <w:t xml:space="preserve">En el panel de Render (pestaña Events o Logs del servicio portal-uts), seguir el build en tiempo real.</w:t>
      </w:r>
    </w:p>
    <w:p>
      <w:pPr>
        <w:pStyle w:val="ListParagraph"/>
        <w:numPr>
          <w:ilvl w:val="0"/>
          <w:numId w:val="5"/>
        </w:numPr>
        <w:spacing w:after="140" w:line="276"/>
      </w:pPr>
      <w:r>
        <w:rPr>
          <w:sz w:val="22"/>
          <w:szCs w:val="22"/>
        </w:rPr>
        <w:t xml:space="preserve">Cuando el estado pase a “Live”, verificar el resultado siguiendo el checklist de la sección 8.</w:t>
      </w:r>
    </w:p>
    <w:p>
      <w:pPr>
        <w:pStyle w:val="Heading2"/>
        <w:spacing w:after="140" w:before="320"/>
      </w:pPr>
      <w:r>
        <w:rPr>
          <w:b/>
          <w:bCs/>
          <w:color w:val="2E7D32"/>
          <w:sz w:val="24"/>
          <w:szCs w:val="24"/>
        </w:rPr>
        <w:t xml:space="preserve">7.2 Revisar logs y estado</w:t>
      </w:r>
    </w:p>
    <w:p>
      <w:pPr>
        <w:spacing w:after="160" w:line="276"/>
      </w:pPr>
      <w:r>
        <w:rPr>
          <w:sz w:val="22"/>
          <w:szCs w:val="22"/>
        </w:rPr>
        <w:t xml:space="preserve">Dashboard del servicio web:</w:t>
      </w:r>
    </w:p>
    <w:p>
      <w:pPr>
        <w:shd w:fill="F2F2F2" w:color="auto" w:val="clear"/>
        <w:spacing w:after="160" w:line="264"/>
      </w:pPr>
      <w:r>
        <w:rPr>
          <w:rFonts w:ascii="Consolas" w:cs="Consolas" w:eastAsia="Consolas" w:hAnsi="Consolas"/>
          <w:sz w:val="20"/>
          <w:szCs w:val="20"/>
        </w:rPr>
        <w:t xml:space="preserve">https://dashboard.render.com/web/srv-dao0hd3tqb8s73deut5g</w:t>
      </w:r>
    </w:p>
    <w:p>
      <w:pPr>
        <w:spacing w:after="160" w:line="276"/>
      </w:pPr>
      <w:r>
        <w:rPr>
          <w:sz w:val="22"/>
          <w:szCs w:val="22"/>
        </w:rPr>
        <w:t xml:space="preserve">Dashboard de la base de datos:</w:t>
      </w:r>
    </w:p>
    <w:p>
      <w:pPr>
        <w:shd w:fill="F2F2F2" w:color="auto" w:val="clear"/>
        <w:spacing w:after="160" w:line="264"/>
      </w:pPr>
      <w:r>
        <w:rPr>
          <w:rFonts w:ascii="Consolas" w:cs="Consolas" w:eastAsia="Consolas" w:hAnsi="Consolas"/>
          <w:sz w:val="20"/>
          <w:szCs w:val="20"/>
        </w:rPr>
        <w:t xml:space="preserve">https://dashboard.render.com/d/dpg-dao0h2rtqb8s73detpdg-a</w:t>
      </w:r>
    </w:p>
    <w:p>
      <w:pPr>
        <w:pStyle w:val="Heading2"/>
        <w:spacing w:after="140" w:before="320"/>
      </w:pPr>
      <w:r>
        <w:rPr>
          <w:b/>
          <w:bCs/>
          <w:color w:val="2E7D32"/>
          <w:sz w:val="24"/>
          <w:szCs w:val="24"/>
        </w:rPr>
        <w:t xml:space="preserve">7.3 Revertir un despliegue problemático</w:t>
      </w:r>
    </w:p>
    <w:p>
      <w:pPr>
        <w:spacing w:after="160" w:line="276"/>
      </w:pPr>
      <w:r>
        <w:rPr>
          <w:sz w:val="22"/>
          <w:szCs w:val="22"/>
        </w:rPr>
        <w:t xml:space="preserve">Si un despliegue nuevo queda con errores, Render conserva los despliegues anteriores: desde la pestaña Deploys del servicio se puede elegir uno anterior que sí funcionaba y volver a desplegarlo (“Redeploy”), mientras se corrige el problema con calma en el código. Esto no revierte cambios ya aplicados a la base de datos por una migración de Flyway — por eso conviene revisar bien una migración antes de hacer push a main.</w:t>
      </w:r>
    </w:p>
    <w:p>
      <w:pPr>
        <w:pStyle w:val="Heading1"/>
        <w:pageBreakBefore/>
        <w:pBdr>
          <w:bottom w:val="single" w:color="2E7D32" w:sz="6" w:space="4"/>
        </w:pBdr>
        <w:spacing w:after="200" w:before="420"/>
      </w:pPr>
      <w:r>
        <w:rPr>
          <w:b/>
          <w:bCs/>
          <w:color w:val="1B5E20"/>
          <w:sz w:val="30"/>
          <w:szCs w:val="30"/>
        </w:rPr>
        <w:t xml:space="preserve">8. Verificación después de un despliegue</w:t>
      </w:r>
    </w:p>
    <w:p>
      <w:pPr>
        <w:spacing w:after="160" w:line="276"/>
      </w:pPr>
      <w:r>
        <w:rPr>
          <w:sz w:val="22"/>
          <w:szCs w:val="22"/>
        </w:rPr>
        <w:t xml:space="preserve">Lista breve para confirmar que un despliegue quedó bien, antes de darlo por terminado:</w:t>
      </w:r>
    </w:p>
    <w:p>
      <w:pPr>
        <w:pStyle w:val="ListParagraph"/>
        <w:numPr>
          <w:ilvl w:val="0"/>
          <w:numId w:val="6"/>
        </w:numPr>
        <w:spacing w:after="80" w:line="276"/>
      </w:pPr>
      <w:r>
        <w:rPr>
          <w:sz w:val="22"/>
          <w:szCs w:val="22"/>
        </w:rPr>
        <w:t xml:space="preserve">El estado del servicio en Render pasó a “Live” sin errores en el log de arranque.</w:t>
      </w:r>
    </w:p>
    <w:p>
      <w:pPr>
        <w:pStyle w:val="ListParagraph"/>
        <w:numPr>
          <w:ilvl w:val="0"/>
          <w:numId w:val="6"/>
        </w:numPr>
        <w:spacing w:after="80" w:line="276"/>
      </w:pPr>
      <w:r>
        <w:rPr>
          <w:sz w:val="22"/>
          <w:szCs w:val="22"/>
        </w:rPr>
        <w:t xml:space="preserve">La portada pública (https://portal-uts-k888.onrender.com) carga y muestra Contenidos/Rutas.</w:t>
      </w:r>
    </w:p>
    <w:p>
      <w:pPr>
        <w:pStyle w:val="ListParagraph"/>
        <w:numPr>
          <w:ilvl w:val="0"/>
          <w:numId w:val="6"/>
        </w:numPr>
        <w:spacing w:after="80" w:line="276"/>
      </w:pPr>
      <w:r>
        <w:rPr>
          <w:sz w:val="22"/>
          <w:szCs w:val="22"/>
        </w:rPr>
        <w:t xml:space="preserve">Un inicio de sesión de administrador funciona (/login) y el panel carga con las opciones de administración habilitadas para esa cuenta.</w:t>
      </w:r>
    </w:p>
    <w:p>
      <w:pPr>
        <w:pStyle w:val="ListParagraph"/>
        <w:numPr>
          <w:ilvl w:val="0"/>
          <w:numId w:val="6"/>
        </w:numPr>
        <w:spacing w:after="80" w:line="276"/>
      </w:pPr>
      <w:r>
        <w:rPr>
          <w:sz w:val="22"/>
          <w:szCs w:val="22"/>
        </w:rPr>
        <w:t xml:space="preserve">Si el cambio tocó una migración: revisar en el log de arranque que Flyway la aplicó sin errores.</w:t>
      </w:r>
    </w:p>
    <w:p>
      <w:pPr>
        <w:pStyle w:val="ListParagraph"/>
        <w:numPr>
          <w:ilvl w:val="0"/>
          <w:numId w:val="6"/>
        </w:numPr>
        <w:spacing w:after="80" w:line="276"/>
      </w:pPr>
      <w:r>
        <w:rPr>
          <w:sz w:val="22"/>
          <w:szCs w:val="22"/>
        </w:rPr>
        <w:t xml:space="preserve">Si el cambio tocó una plantilla o estilo: revisar visualmente esa pantalla, no solo que la aplicación arrancó.</w:t>
      </w:r>
    </w:p>
    <w:p>
      <w:pPr>
        <w:pStyle w:val="Heading1"/>
        <w:pageBreakBefore/>
        <w:pBdr>
          <w:bottom w:val="single" w:color="2E7D32" w:sz="6" w:space="4"/>
        </w:pBdr>
        <w:spacing w:after="200" w:before="420"/>
      </w:pPr>
      <w:r>
        <w:rPr>
          <w:b/>
          <w:bCs/>
          <w:color w:val="1B5E20"/>
          <w:sz w:val="30"/>
          <w:szCs w:val="30"/>
        </w:rPr>
        <w:t xml:space="preserve">9. Riesgos y mantenimiento futuro</w:t>
      </w:r>
    </w:p>
    <w:p>
      <w:pPr>
        <w:pStyle w:val="ListParagraph"/>
        <w:numPr>
          <w:ilvl w:val="0"/>
          <w:numId w:val="7"/>
        </w:numPr>
        <w:spacing w:after="80" w:line="276"/>
      </w:pPr>
      <w:r>
        <w:rPr>
          <w:sz w:val="22"/>
          <w:szCs w:val="22"/>
        </w:rPr>
        <w:t xml:space="preserve">Expiración del plan gratuito de PostgreSQL — 20 de octubre de 2026 (ver sección 3.2). Es el riesgo con fecha límite más próxima de todo el despliegue.</w:t>
      </w:r>
    </w:p>
    <w:p>
      <w:pPr>
        <w:pStyle w:val="ListParagraph"/>
        <w:numPr>
          <w:ilvl w:val="0"/>
          <w:numId w:val="7"/>
        </w:numPr>
        <w:spacing w:after="80" w:line="276"/>
      </w:pPr>
      <w:r>
        <w:rPr>
          <w:sz w:val="22"/>
          <w:szCs w:val="22"/>
        </w:rPr>
        <w:t xml:space="preserve">El servicio web se activó por primera vez en plan Standard el 20/9/2026 (1c-2g: 1 vCPU, 2 GB de RAM) y desde entonces alterna con el plan gratuito; mientras está en Standard no aplica el límite de 512 MB del plan gratuito, aunque el Dockerfile sigue con los JAVA_OPTS conservadores de esa etapa (ver sección 4.3) — hay margen para revisarlos si un cambio futuro aumenta mucho el uso de memoria.</w:t>
      </w:r>
    </w:p>
    <w:p>
      <w:pPr>
        <w:pStyle w:val="ListParagraph"/>
        <w:numPr>
          <w:ilvl w:val="0"/>
          <w:numId w:val="7"/>
        </w:numPr>
        <w:spacing w:after="80" w:line="276"/>
      </w:pPr>
      <w:r>
        <w:rPr>
          <w:sz w:val="22"/>
          <w:szCs w:val="22"/>
        </w:rPr>
        <w:t xml:space="preserve">Mientras el servicio web está en el plan gratuito de Render, “duerme” tras un período sin tráfico y tarda unos segundos en responder la primera petición después de eso — es normal en ese plan, no una falla. En el plan Standard no ocurre: el servicio permanece activo.</w:t>
      </w:r>
    </w:p>
    <w:p>
      <w:pPr>
        <w:pStyle w:val="ListParagraph"/>
        <w:numPr>
          <w:ilvl w:val="0"/>
          <w:numId w:val="7"/>
        </w:numPr>
        <w:spacing w:after="80" w:line="276"/>
      </w:pPr>
      <w:r>
        <w:rPr>
          <w:sz w:val="22"/>
          <w:szCs w:val="22"/>
        </w:rPr>
        <w:t xml:space="preserve">Antes de que expire la base de datos gratuita, hacer un respaldo manual (pg_dump) como mínimo, incluso si se decide no pasar a un plan pago de inmediato.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Página </w:t>
    </w:r>
    <w:r>
      <w:rPr>
        <w:color w:val="777777"/>
        <w:sz w:val="16"/>
        <w:szCs w:val="16"/>
      </w:rPr>
      <w:fldChar w:fldCharType="begin"/>
      <w:instrText xml:space="preserve">PAGE</w:instrText>
      <w:fldChar w:fldCharType="separate"/>
      <w:fldChar w:fldCharType="end"/>
    </w:r>
    <w:r>
      <w:rPr>
        <w:color w:val="777777"/>
        <w:sz w:val="16"/>
        <w:szCs w:val="16"/>
      </w:rPr>
      <w:t xml:space="preserve"> de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FCF" w:sz="4" w:space="4"/>
      </w:pBdr>
      <w:tabs>
        <w:tab w:val="right" w:pos="9026"/>
      </w:tabs>
    </w:pPr>
    <w:r>
      <w:rPr>
        <w:color w:val="777777"/>
        <w:sz w:val="16"/>
        <w:szCs w:val="16"/>
      </w:rPr>
      <w:t xml:space="preserve">Guía de despliegue</w:t>
    </w:r>
    <w:r>
      <w:rPr>
        <w:color w:val="777777"/>
        <w:sz w:val="16"/>
        <w:szCs w:val="16"/>
      </w:rPr>
      <w:t xml:space="preserve">	Portal de orientación psicosocial UTS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90" w:hanging="360"/>
      </w:pPr>
    </w:lvl>
  </w:abstractNum>
  <w:abstractNum w:abstractNumId="3" w15:restartNumberingAfterBreak="0">
    <w:multiLevelType w:val="hybridMultilevel"/>
    <w:lvl w:ilvl="0" w15:tentative="1">
      <w:start w:val="1"/>
      <w:numFmt w:val="bullet"/>
      <w:lvlText w:val="•"/>
      <w:lvlJc w:val="left"/>
      <w:pPr>
        <w:ind w:left="590" w:hanging="360"/>
      </w:pPr>
    </w:lvl>
  </w:abstractNum>
  <w:abstractNum w:abstractNumId="4" w15:restartNumberingAfterBreak="0">
    <w:multiLevelType w:val="hybridMultilevel"/>
    <w:lvl w:ilvl="0" w15:tentative="1">
      <w:start w:val="1"/>
      <w:numFmt w:val="bullet"/>
      <w:lvlText w:val="•"/>
      <w:lvlJc w:val="left"/>
      <w:pPr>
        <w:ind w:left="590" w:hanging="360"/>
      </w:pPr>
    </w:lvl>
  </w:abstractNum>
  <w:abstractNum w:abstractNumId="5" w15:restartNumberingAfterBreak="0">
    <w:multiLevelType w:val="hybridMultilevel"/>
    <w:lvl w:ilvl="0" w15:tentative="1">
      <w:start w:val="1"/>
      <w:numFmt w:val="decimal"/>
      <w:lvlText w:val="%1."/>
      <w:lvlJc w:val="left"/>
      <w:pPr>
        <w:ind w:left="590" w:hanging="360"/>
      </w:pPr>
    </w:lvl>
  </w:abstractNum>
  <w:abstractNum w:abstractNumId="6" w15:restartNumberingAfterBreak="0">
    <w:multiLevelType w:val="hybridMultilevel"/>
    <w:lvl w:ilvl="0" w15:tentative="1">
      <w:start w:val="1"/>
      <w:numFmt w:val="bullet"/>
      <w:lvlText w:val="•"/>
      <w:lvlJc w:val="left"/>
      <w:pPr>
        <w:ind w:left="590" w:hanging="360"/>
      </w:pPr>
    </w:lvl>
  </w:abstractNum>
  <w:abstractNum w:abstractNumId="7" w15:restartNumberingAfterBreak="0">
    <w:multiLevelType w:val="hybridMultilevel"/>
    <w:lvl w:ilvl="0" w15:tentative="1">
      <w:start w:val="1"/>
      <w:numFmt w:val="bullet"/>
      <w:lvlText w:val="•"/>
      <w:lvlJc w:val="left"/>
      <w:pPr>
        <w:ind w:left="59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despliegue — Portal de orientación psicosocial UTS</dc:title>
  <dc:creator>Proyecto de grado 65-2026-015 — Portal de orientación psicosocial UTS</dc:creator>
  <dc:description>Cómo está desplegado el portal en Render y cómo mantenerlo en producción</dc:description>
  <cp:lastModifiedBy>Un-named</cp:lastModifiedBy>
  <cp:revision>1</cp:revision>
  <dcterms:created xsi:type="dcterms:W3CDTF">2026-09-24T07:20:34.391Z</dcterms:created>
  <dcterms:modified xsi:type="dcterms:W3CDTF">2026-09-24T07:20:34.392Z</dcterms:modified>
</cp:coreProperties>
</file>

<file path=docProps/custom.xml><?xml version="1.0" encoding="utf-8"?>
<Properties xmlns="http://schemas.openxmlformats.org/officeDocument/2006/custom-properties" xmlns:vt="http://schemas.openxmlformats.org/officeDocument/2006/docPropsVTypes"/>
</file>