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32"/>
          <w:sz w:val="22"/>
          <w:szCs w:val="22"/>
        </w:rPr>
        <w:t xml:space="preserve">Portal de orientación psicosocial UTS</w:t>
      </w:r>
    </w:p>
    <w:p>
      <w:pPr>
        <w:spacing w:after="200" w:before="120"/>
      </w:pPr>
      <w:r>
        <w:rPr>
          <w:b/>
          <w:bCs/>
          <w:color w:val="1B5E20"/>
          <w:sz w:val="46"/>
          <w:szCs w:val="46"/>
        </w:rPr>
        <w:t xml:space="preserve">Manual técnico</w:t>
      </w:r>
    </w:p>
    <w:p>
      <w:pPr>
        <w:spacing w:after="360"/>
      </w:pPr>
      <w:r>
        <w:rPr>
          <w:i/>
          <w:iCs/>
          <w:color w:val="444444"/>
          <w:sz w:val="26"/>
          <w:szCs w:val="26"/>
        </w:rPr>
        <w:t xml:space="preserve">Arquitectura, modelo de datos y decisiones de diseño, para quien continúe el mantenimiento o desarrollo del proyecto</w:t>
      </w:r>
    </w:p>
    <w:p>
      <w:pPr>
        <w:spacing w:after="160" w:line="276"/>
      </w:pPr>
      <w:r>
        <w:rPr>
          <w:color w:val="555555"/>
          <w:sz w:val="21"/>
          <w:szCs w:val="21"/>
        </w:rPr>
        <w:t xml:space="preserve">Proyecto de grado 65-2026-015 — repositorio: github.com/juanjjpabon/portal-uts</w:t>
      </w:r>
    </w:p>
    <w:p>
      <w:pPr>
        <w:spacing w:after="160" w:line="276"/>
      </w:pPr>
      <w:r>
        <w:rPr>
          <w:color w:val="555555"/>
          <w:sz w:val="21"/>
          <w:szCs w:val="21"/>
        </w:rPr>
        <w:t xml:space="preserve">Elaborado a partir del código fuente real del proyecto, su configuración de despliegue y el esquema de base de datos verificado en producción.</w:t>
      </w:r>
    </w:p>
    <w:p>
      <w:pPr>
        <w:spacing w:after="200"/>
      </w:pPr>
    </w:p>
    <w:p>
      <w:pPr>
        <w:pStyle w:val="Heading2"/>
        <w:spacing w:after="140" w:before="320"/>
      </w:pPr>
      <w:r>
        <w:rPr>
          <w:b/>
          <w:bCs/>
          <w:color w:val="2E7D32"/>
          <w:sz w:val="24"/>
          <w:szCs w:val="24"/>
        </w:rPr>
        <w:t xml:space="preserve">Contenido de este manual</w:t>
      </w:r>
    </w:p>
    <w:p>
      <w:pPr>
        <w:pStyle w:val="ListParagraph"/>
        <w:numPr>
          <w:ilvl w:val="0"/>
          <w:numId w:val="2"/>
        </w:numPr>
        <w:spacing w:after="80" w:line="276"/>
      </w:pPr>
      <w:r>
        <w:rPr>
          <w:sz w:val="22"/>
          <w:szCs w:val="22"/>
        </w:rPr>
        <w:t xml:space="preserve">1. Visión general y alcance</w:t>
      </w:r>
    </w:p>
    <w:p>
      <w:pPr>
        <w:pStyle w:val="ListParagraph"/>
        <w:numPr>
          <w:ilvl w:val="0"/>
          <w:numId w:val="2"/>
        </w:numPr>
        <w:spacing w:after="80" w:line="276"/>
      </w:pPr>
      <w:r>
        <w:rPr>
          <w:sz w:val="22"/>
          <w:szCs w:val="22"/>
        </w:rPr>
        <w:t xml:space="preserve">2. Stack tecnológico</w:t>
      </w:r>
    </w:p>
    <w:p>
      <w:pPr>
        <w:pStyle w:val="ListParagraph"/>
        <w:numPr>
          <w:ilvl w:val="0"/>
          <w:numId w:val="2"/>
        </w:numPr>
        <w:spacing w:after="80" w:line="276"/>
      </w:pPr>
      <w:r>
        <w:rPr>
          <w:sz w:val="22"/>
          <w:szCs w:val="22"/>
        </w:rPr>
        <w:t xml:space="preserve">3. Arquitectura y estructura del proyecto</w:t>
      </w:r>
    </w:p>
    <w:p>
      <w:pPr>
        <w:pStyle w:val="ListParagraph"/>
        <w:numPr>
          <w:ilvl w:val="0"/>
          <w:numId w:val="2"/>
        </w:numPr>
        <w:spacing w:after="80" w:line="276"/>
      </w:pPr>
      <w:r>
        <w:rPr>
          <w:sz w:val="22"/>
          <w:szCs w:val="22"/>
        </w:rPr>
        <w:t xml:space="preserve">4. Modelo de datos</w:t>
      </w:r>
    </w:p>
    <w:p>
      <w:pPr>
        <w:pStyle w:val="ListParagraph"/>
        <w:numPr>
          <w:ilvl w:val="0"/>
          <w:numId w:val="2"/>
        </w:numPr>
        <w:spacing w:after="80" w:line="276"/>
      </w:pPr>
      <w:r>
        <w:rPr>
          <w:sz w:val="22"/>
          <w:szCs w:val="22"/>
        </w:rPr>
        <w:t xml:space="preserve">5. Servicios de dominio relevantes</w:t>
      </w:r>
    </w:p>
    <w:p>
      <w:pPr>
        <w:pStyle w:val="ListParagraph"/>
        <w:numPr>
          <w:ilvl w:val="0"/>
          <w:numId w:val="2"/>
        </w:numPr>
        <w:spacing w:after="80" w:line="276"/>
      </w:pPr>
      <w:r>
        <w:rPr>
          <w:sz w:val="22"/>
          <w:szCs w:val="22"/>
        </w:rPr>
        <w:t xml:space="preserve">6. Seguridad</w:t>
      </w:r>
    </w:p>
    <w:p>
      <w:pPr>
        <w:pStyle w:val="ListParagraph"/>
        <w:numPr>
          <w:ilvl w:val="0"/>
          <w:numId w:val="2"/>
        </w:numPr>
        <w:spacing w:after="80" w:line="276"/>
      </w:pPr>
      <w:r>
        <w:rPr>
          <w:sz w:val="22"/>
          <w:szCs w:val="22"/>
        </w:rPr>
        <w:t xml:space="preserve">7. Pruebas automatizadas</w:t>
      </w:r>
    </w:p>
    <w:p>
      <w:pPr>
        <w:pStyle w:val="ListParagraph"/>
        <w:numPr>
          <w:ilvl w:val="0"/>
          <w:numId w:val="2"/>
        </w:numPr>
        <w:spacing w:after="80" w:line="276"/>
      </w:pPr>
      <w:r>
        <w:rPr>
          <w:sz w:val="22"/>
          <w:szCs w:val="22"/>
        </w:rPr>
        <w:t xml:space="preserve">8. Decisiones de diseño notables</w:t>
      </w:r>
    </w:p>
    <w:p>
      <w:pPr>
        <w:pStyle w:val="ListParagraph"/>
        <w:numPr>
          <w:ilvl w:val="0"/>
          <w:numId w:val="2"/>
        </w:numPr>
        <w:spacing w:after="80" w:line="276"/>
      </w:pPr>
      <w:r>
        <w:rPr>
          <w:sz w:val="22"/>
          <w:szCs w:val="22"/>
        </w:rPr>
        <w:t xml:space="preserve">9. Cómo continuar el desarrollo</w:t>
      </w:r>
    </w:p>
    <w:p>
      <w:pPr>
        <w:pStyle w:val="Heading1"/>
        <w:pageBreakBefore/>
        <w:pBdr>
          <w:bottom w:val="single" w:color="2E7D32" w:sz="6" w:space="4"/>
        </w:pBdr>
        <w:spacing w:after="200" w:before="420"/>
      </w:pPr>
      <w:r>
        <w:rPr>
          <w:b/>
          <w:bCs/>
          <w:color w:val="1B5E20"/>
          <w:sz w:val="30"/>
          <w:szCs w:val="30"/>
        </w:rPr>
        <w:t xml:space="preserve">1. Visión general y alcance</w:t>
      </w:r>
    </w:p>
    <w:p>
      <w:pPr>
        <w:spacing w:after="160" w:line="276"/>
      </w:pPr>
      <w:r>
        <w:rPr>
          <w:sz w:val="22"/>
          <w:szCs w:val="22"/>
        </w:rPr>
        <w:t xml:space="preserve">El Portal de orientación psicosocial UTS es una aplicación web monolítica que ofrece dos frentes de uso:</w:t>
      </w:r>
    </w:p>
    <w:p>
      <w:pPr>
        <w:pStyle w:val="ListParagraph"/>
        <w:numPr>
          <w:ilvl w:val="0"/>
          <w:numId w:val="3"/>
        </w:numPr>
        <w:spacing w:after="80" w:line="276"/>
      </w:pPr>
      <w:r>
        <w:rPr>
          <w:sz w:val="22"/>
          <w:szCs w:val="22"/>
        </w:rPr>
        <w:t xml:space="preserve">Un portal público, sin autenticación, donde cualquier visitante consulta Contenidos y Rutas institucionales, realiza cuestionarios de autoorientación de forma anónima y encuentra el canal de contacto institucional.</w:t>
      </w:r>
    </w:p>
    <w:p>
      <w:pPr>
        <w:pStyle w:val="ListParagraph"/>
        <w:numPr>
          <w:ilvl w:val="0"/>
          <w:numId w:val="3"/>
        </w:numPr>
        <w:spacing w:after="80" w:line="276"/>
      </w:pPr>
      <w:r>
        <w:rPr>
          <w:sz w:val="22"/>
          <w:szCs w:val="22"/>
        </w:rPr>
        <w:t xml:space="preserve">Un panel administrativo, protegido por sesión, donde el personal del CAE mantiene ese contenido y el equipo técnico administra usuarios y revisa la bitácora del sistema.</w:t>
      </w:r>
    </w:p>
    <w:p>
      <w:pPr>
        <w:spacing w:after="160" w:line="276"/>
      </w:pPr>
      <w:r>
        <w:rPr>
          <w:sz w:val="22"/>
          <w:szCs w:val="22"/>
        </w:rPr>
        <w:t xml:space="preserve">Este manual describe la implementación real del proyecto: arquitectura, modelo de datos, servicios de dominio y decisiones de seguridad. Para el manejo del panel administrativo día a día, ver el “Manual del panel administrativo — CAE”; para poner el sistema en producción, ver la “Guía de despliegue”.</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Nota sobre contraseñas y credenciales:</w:t>
            </w:r>
          </w:p>
          <w:p>
            <w:pPr>
              <w:spacing w:after="0"/>
            </w:pPr>
            <w:r>
              <w:rPr>
                <w:sz w:val="21"/>
                <w:szCs w:val="21"/>
              </w:rPr>
              <w:t xml:space="preserve">Este manual no incluye contraseñas ni valores de credenciales reales en ningún punto, por acuerdo del proyecto. Donde haga falta referirse a una cuenta, se usa el correo institucional únicamente; la contraseña correspondiente se gestiona siempre por variable de entorno o por el propio panel, nunca en un documento.</w:t>
            </w:r>
          </w:p>
        </w:tc>
      </w:tr>
    </w:tbl>
    <w:p>
      <w:pPr>
        <w:pStyle w:val="Heading1"/>
        <w:pageBreakBefore/>
        <w:pBdr>
          <w:bottom w:val="single" w:color="2E7D32" w:sz="6" w:space="4"/>
        </w:pBdr>
        <w:spacing w:after="200" w:before="420"/>
      </w:pPr>
      <w:r>
        <w:rPr>
          <w:b/>
          <w:bCs/>
          <w:color w:val="1B5E20"/>
          <w:sz w:val="30"/>
          <w:szCs w:val="30"/>
        </w:rPr>
        <w:t xml:space="preserve">2. Stack tecnológico</w:t>
      </w:r>
    </w:p>
    <w:p>
      <w:pPr>
        <w:spacing w:after="160" w:line="276"/>
      </w:pPr>
      <w:r>
        <w:rPr>
          <w:sz w:val="22"/>
          <w:szCs w:val="22"/>
        </w:rPr>
        <w:t xml:space="preserve">La Tabla 1 resume las tecnologías realmente utilizadas, con su versión y la razón de selección (misma información que la Tabla 5 del documento F-DC-125, capítulo 4).</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000"/>
        <w:gridCol w:w="2100"/>
        <w:gridCol w:w="5260"/>
      </w:tblGrid>
      <w:tr>
        <w:trPr>
          <w:tblHeader/>
        </w:trPr>
        <w:tc>
          <w:tcPr>
            <w:tcW w:type="dxa" w:w="2000"/>
            <w:shd w:fill="E8F5E9" w:color="auto" w:val="clear"/>
            <w:tcMar>
              <w:top w:type="dxa" w:w="90"/>
              <w:left w:type="dxa" w:w="120"/>
              <w:bottom w:type="dxa" w:w="90"/>
              <w:right w:type="dxa" w:w="120"/>
            </w:tcMar>
          </w:tcPr>
          <w:p>
            <w:r>
              <w:rPr>
                <w:b/>
                <w:bCs/>
                <w:sz w:val="21"/>
                <w:szCs w:val="21"/>
              </w:rPr>
              <w:t xml:space="preserve">Componente</w:t>
            </w:r>
          </w:p>
        </w:tc>
        <w:tc>
          <w:tcPr>
            <w:tcW w:type="dxa" w:w="2100"/>
            <w:shd w:fill="E8F5E9" w:color="auto" w:val="clear"/>
            <w:tcMar>
              <w:top w:type="dxa" w:w="90"/>
              <w:left w:type="dxa" w:w="120"/>
              <w:bottom w:type="dxa" w:w="90"/>
              <w:right w:type="dxa" w:w="120"/>
            </w:tcMar>
          </w:tcPr>
          <w:p>
            <w:r>
              <w:rPr>
                <w:b/>
                <w:bCs/>
                <w:sz w:val="21"/>
                <w:szCs w:val="21"/>
              </w:rPr>
              <w:t xml:space="preserve">Versión</w:t>
            </w:r>
          </w:p>
        </w:tc>
        <w:tc>
          <w:tcPr>
            <w:tcW w:type="dxa" w:w="5260"/>
            <w:shd w:fill="E8F5E9" w:color="auto" w:val="clear"/>
            <w:tcMar>
              <w:top w:type="dxa" w:w="90"/>
              <w:left w:type="dxa" w:w="120"/>
              <w:bottom w:type="dxa" w:w="90"/>
              <w:right w:type="dxa" w:w="120"/>
            </w:tcMar>
          </w:tcPr>
          <w:p>
            <w:r>
              <w:rPr>
                <w:b/>
                <w:bCs/>
                <w:sz w:val="21"/>
                <w:szCs w:val="21"/>
              </w:rPr>
              <w:t xml:space="preserve">Razón de selección</w:t>
            </w:r>
          </w:p>
        </w:tc>
      </w:tr>
      <w:tr>
        <w:tc>
          <w:tcPr>
            <w:tcW w:type="dxa" w:w="2000"/>
            <w:tcMar>
              <w:top w:type="dxa" w:w="90"/>
              <w:left w:type="dxa" w:w="120"/>
              <w:bottom w:type="dxa" w:w="90"/>
              <w:right w:type="dxa" w:w="120"/>
            </w:tcMar>
          </w:tcPr>
          <w:p>
            <w:pPr>
              <w:spacing w:after="40"/>
            </w:pPr>
            <w:r>
              <w:rPr>
                <w:sz w:val="21"/>
                <w:szCs w:val="21"/>
              </w:rPr>
              <w:t xml:space="preserve">Spring Boot</w:t>
            </w:r>
          </w:p>
        </w:tc>
        <w:tc>
          <w:tcPr>
            <w:tcW w:type="dxa" w:w="2100"/>
            <w:tcMar>
              <w:top w:type="dxa" w:w="90"/>
              <w:left w:type="dxa" w:w="120"/>
              <w:bottom w:type="dxa" w:w="90"/>
              <w:right w:type="dxa" w:w="120"/>
            </w:tcMar>
          </w:tcPr>
          <w:p>
            <w:pPr>
              <w:spacing w:after="40"/>
            </w:pPr>
            <w:r>
              <w:rPr>
                <w:sz w:val="21"/>
                <w:szCs w:val="21"/>
              </w:rPr>
              <w:t xml:space="preserve">3.5.5</w:t>
            </w:r>
          </w:p>
        </w:tc>
        <w:tc>
          <w:tcPr>
            <w:tcW w:type="dxa" w:w="5260"/>
            <w:tcMar>
              <w:top w:type="dxa" w:w="90"/>
              <w:left w:type="dxa" w:w="120"/>
              <w:bottom w:type="dxa" w:w="90"/>
              <w:right w:type="dxa" w:w="120"/>
            </w:tcMar>
          </w:tcPr>
          <w:p>
            <w:pPr>
              <w:spacing w:after="40"/>
            </w:pPr>
            <w:r>
              <w:rPr>
                <w:sz w:val="21"/>
                <w:szCs w:val="21"/>
              </w:rPr>
              <w:t xml:space="preserve">Framework base: auto-configuración e integración nativa con Thymeleaf, Spring Security, Spring Data JPA y Flyway.</w:t>
            </w:r>
          </w:p>
        </w:tc>
      </w:tr>
      <w:tr>
        <w:tc>
          <w:tcPr>
            <w:tcW w:type="dxa" w:w="2000"/>
            <w:tcMar>
              <w:top w:type="dxa" w:w="90"/>
              <w:left w:type="dxa" w:w="120"/>
              <w:bottom w:type="dxa" w:w="90"/>
              <w:right w:type="dxa" w:w="120"/>
            </w:tcMar>
          </w:tcPr>
          <w:p>
            <w:pPr>
              <w:spacing w:after="40"/>
            </w:pPr>
            <w:r>
              <w:rPr>
                <w:sz w:val="21"/>
                <w:szCs w:val="21"/>
              </w:rPr>
              <w:t xml:space="preserve">Java (OpenJDK)</w:t>
            </w:r>
          </w:p>
        </w:tc>
        <w:tc>
          <w:tcPr>
            <w:tcW w:type="dxa" w:w="2100"/>
            <w:tcMar>
              <w:top w:type="dxa" w:w="90"/>
              <w:left w:type="dxa" w:w="120"/>
              <w:bottom w:type="dxa" w:w="90"/>
              <w:right w:type="dxa" w:w="120"/>
            </w:tcMar>
          </w:tcPr>
          <w:p>
            <w:pPr>
              <w:spacing w:after="40"/>
            </w:pPr>
            <w:r>
              <w:rPr>
                <w:sz w:val="21"/>
                <w:szCs w:val="21"/>
              </w:rPr>
              <w:t xml:space="preserve">21 (LTS)</w:t>
            </w:r>
          </w:p>
        </w:tc>
        <w:tc>
          <w:tcPr>
            <w:tcW w:type="dxa" w:w="5260"/>
            <w:tcMar>
              <w:top w:type="dxa" w:w="90"/>
              <w:left w:type="dxa" w:w="120"/>
              <w:bottom w:type="dxa" w:w="90"/>
              <w:right w:type="dxa" w:w="120"/>
            </w:tcMar>
          </w:tcPr>
          <w:p>
            <w:pPr>
              <w:spacing w:after="40"/>
            </w:pPr>
            <w:r>
              <w:rPr>
                <w:sz w:val="21"/>
                <w:szCs w:val="21"/>
              </w:rPr>
              <w:t xml:space="preserve">Versión de soporte extendido, compatible con Spring Boot 3.5.x y con el entorno de ejecución de Render.</w:t>
            </w:r>
          </w:p>
        </w:tc>
      </w:tr>
      <w:tr>
        <w:tc>
          <w:tcPr>
            <w:tcW w:type="dxa" w:w="2000"/>
            <w:tcMar>
              <w:top w:type="dxa" w:w="90"/>
              <w:left w:type="dxa" w:w="120"/>
              <w:bottom w:type="dxa" w:w="90"/>
              <w:right w:type="dxa" w:w="120"/>
            </w:tcMar>
          </w:tcPr>
          <w:p>
            <w:pPr>
              <w:spacing w:after="40"/>
            </w:pPr>
            <w:r>
              <w:rPr>
                <w:sz w:val="21"/>
                <w:szCs w:val="21"/>
              </w:rPr>
              <w:t xml:space="preserve">PostgreSQL</w:t>
            </w:r>
          </w:p>
        </w:tc>
        <w:tc>
          <w:tcPr>
            <w:tcW w:type="dxa" w:w="2100"/>
            <w:tcMar>
              <w:top w:type="dxa" w:w="90"/>
              <w:left w:type="dxa" w:w="120"/>
              <w:bottom w:type="dxa" w:w="90"/>
              <w:right w:type="dxa" w:w="120"/>
            </w:tcMar>
          </w:tcPr>
          <w:p>
            <w:pPr>
              <w:spacing w:after="40"/>
            </w:pPr>
            <w:r>
              <w:rPr>
                <w:sz w:val="21"/>
                <w:szCs w:val="21"/>
              </w:rPr>
              <w:t xml:space="preserve">18</w:t>
            </w:r>
          </w:p>
        </w:tc>
        <w:tc>
          <w:tcPr>
            <w:tcW w:type="dxa" w:w="5260"/>
            <w:tcMar>
              <w:top w:type="dxa" w:w="90"/>
              <w:left w:type="dxa" w:w="120"/>
              <w:bottom w:type="dxa" w:w="90"/>
              <w:right w:type="dxa" w:w="120"/>
            </w:tcMar>
          </w:tcPr>
          <w:p>
            <w:pPr>
              <w:spacing w:after="40"/>
            </w:pPr>
            <w:r>
              <w:rPr>
                <w:sz w:val="21"/>
                <w:szCs w:val="21"/>
              </w:rPr>
              <w:t xml:space="preserve">Motor relacional con integridad referencial; provisto en el nivel gratuito de Render.</w:t>
            </w:r>
          </w:p>
        </w:tc>
      </w:tr>
      <w:tr>
        <w:tc>
          <w:tcPr>
            <w:tcW w:type="dxa" w:w="2000"/>
            <w:tcMar>
              <w:top w:type="dxa" w:w="90"/>
              <w:left w:type="dxa" w:w="120"/>
              <w:bottom w:type="dxa" w:w="90"/>
              <w:right w:type="dxa" w:w="120"/>
            </w:tcMar>
          </w:tcPr>
          <w:p>
            <w:pPr>
              <w:spacing w:after="40"/>
            </w:pPr>
            <w:r>
              <w:rPr>
                <w:sz w:val="21"/>
                <w:szCs w:val="21"/>
              </w:rPr>
              <w:t xml:space="preserve">Thymeleaf</w:t>
            </w:r>
          </w:p>
        </w:tc>
        <w:tc>
          <w:tcPr>
            <w:tcW w:type="dxa" w:w="2100"/>
            <w:tcMar>
              <w:top w:type="dxa" w:w="90"/>
              <w:left w:type="dxa" w:w="120"/>
              <w:bottom w:type="dxa" w:w="90"/>
              <w:right w:type="dxa" w:w="120"/>
            </w:tcMar>
          </w:tcPr>
          <w:p>
            <w:pPr>
              <w:spacing w:after="40"/>
            </w:pPr>
            <w:r>
              <w:rPr>
                <w:sz w:val="21"/>
                <w:szCs w:val="21"/>
              </w:rPr>
              <w:t xml:space="preserve">gestionada por el BOM de Spring Boot</w:t>
            </w:r>
          </w:p>
        </w:tc>
        <w:tc>
          <w:tcPr>
            <w:tcW w:type="dxa" w:w="5260"/>
            <w:tcMar>
              <w:top w:type="dxa" w:w="90"/>
              <w:left w:type="dxa" w:w="120"/>
              <w:bottom w:type="dxa" w:w="90"/>
              <w:right w:type="dxa" w:w="120"/>
            </w:tcMar>
          </w:tcPr>
          <w:p>
            <w:pPr>
              <w:spacing w:after="40"/>
            </w:pPr>
            <w:r>
              <w:rPr>
                <w:sz w:val="21"/>
                <w:szCs w:val="21"/>
              </w:rPr>
              <w:t xml:space="preserve">Motor de plantillas del lado del servidor, sin cliente separado (SSR).</w:t>
            </w:r>
          </w:p>
        </w:tc>
      </w:tr>
      <w:tr>
        <w:tc>
          <w:tcPr>
            <w:tcW w:type="dxa" w:w="2000"/>
            <w:tcMar>
              <w:top w:type="dxa" w:w="90"/>
              <w:left w:type="dxa" w:w="120"/>
              <w:bottom w:type="dxa" w:w="90"/>
              <w:right w:type="dxa" w:w="120"/>
            </w:tcMar>
          </w:tcPr>
          <w:p>
            <w:pPr>
              <w:spacing w:after="40"/>
            </w:pPr>
            <w:r>
              <w:rPr>
                <w:sz w:val="21"/>
                <w:szCs w:val="21"/>
              </w:rPr>
              <w:t xml:space="preserve">Bootstrap</w:t>
            </w:r>
          </w:p>
        </w:tc>
        <w:tc>
          <w:tcPr>
            <w:tcW w:type="dxa" w:w="2100"/>
            <w:tcMar>
              <w:top w:type="dxa" w:w="90"/>
              <w:left w:type="dxa" w:w="120"/>
              <w:bottom w:type="dxa" w:w="90"/>
              <w:right w:type="dxa" w:w="120"/>
            </w:tcMar>
          </w:tcPr>
          <w:p>
            <w:pPr>
              <w:spacing w:after="40"/>
            </w:pPr>
            <w:r>
              <w:rPr>
                <w:sz w:val="21"/>
                <w:szCs w:val="21"/>
              </w:rPr>
              <w:t xml:space="preserve">5.3.3 (CDN)</w:t>
            </w:r>
          </w:p>
        </w:tc>
        <w:tc>
          <w:tcPr>
            <w:tcW w:type="dxa" w:w="5260"/>
            <w:tcMar>
              <w:top w:type="dxa" w:w="90"/>
              <w:left w:type="dxa" w:w="120"/>
              <w:bottom w:type="dxa" w:w="90"/>
              <w:right w:type="dxa" w:w="120"/>
            </w:tcMar>
          </w:tcPr>
          <w:p>
            <w:pPr>
              <w:spacing w:after="40"/>
            </w:pPr>
            <w:r>
              <w:rPr>
                <w:sz w:val="21"/>
                <w:szCs w:val="21"/>
              </w:rPr>
              <w:t xml:space="preserve">Framework CSS para el diseño responsivo, sin estilos propios desde cero.</w:t>
            </w:r>
          </w:p>
        </w:tc>
      </w:tr>
      <w:tr>
        <w:tc>
          <w:tcPr>
            <w:tcW w:type="dxa" w:w="2000"/>
            <w:tcMar>
              <w:top w:type="dxa" w:w="90"/>
              <w:left w:type="dxa" w:w="120"/>
              <w:bottom w:type="dxa" w:w="90"/>
              <w:right w:type="dxa" w:w="120"/>
            </w:tcMar>
          </w:tcPr>
          <w:p>
            <w:pPr>
              <w:spacing w:after="40"/>
            </w:pPr>
            <w:r>
              <w:rPr>
                <w:sz w:val="21"/>
                <w:szCs w:val="21"/>
              </w:rPr>
              <w:t xml:space="preserve">Spring Security</w:t>
            </w:r>
          </w:p>
        </w:tc>
        <w:tc>
          <w:tcPr>
            <w:tcW w:type="dxa" w:w="2100"/>
            <w:tcMar>
              <w:top w:type="dxa" w:w="90"/>
              <w:left w:type="dxa" w:w="120"/>
              <w:bottom w:type="dxa" w:w="90"/>
              <w:right w:type="dxa" w:w="120"/>
            </w:tcMar>
          </w:tcPr>
          <w:p>
            <w:pPr>
              <w:spacing w:after="40"/>
            </w:pPr>
            <w:r>
              <w:rPr>
                <w:sz w:val="21"/>
                <w:szCs w:val="21"/>
              </w:rPr>
              <w:t xml:space="preserve">gestionada por el BOM</w:t>
            </w:r>
          </w:p>
        </w:tc>
        <w:tc>
          <w:tcPr>
            <w:tcW w:type="dxa" w:w="5260"/>
            <w:tcMar>
              <w:top w:type="dxa" w:w="90"/>
              <w:left w:type="dxa" w:w="120"/>
              <w:bottom w:type="dxa" w:w="90"/>
              <w:right w:type="dxa" w:w="120"/>
            </w:tcMar>
          </w:tcPr>
          <w:p>
            <w:pPr>
              <w:spacing w:after="40"/>
            </w:pPr>
            <w:r>
              <w:rPr>
                <w:sz w:val="21"/>
                <w:szCs w:val="21"/>
              </w:rPr>
              <w:t xml:space="preserve">Control de acceso por rol y cifrado de contraseñas con BCrypt.</w:t>
            </w:r>
          </w:p>
        </w:tc>
      </w:tr>
      <w:tr>
        <w:tc>
          <w:tcPr>
            <w:tcW w:type="dxa" w:w="2000"/>
            <w:tcMar>
              <w:top w:type="dxa" w:w="90"/>
              <w:left w:type="dxa" w:w="120"/>
              <w:bottom w:type="dxa" w:w="90"/>
              <w:right w:type="dxa" w:w="120"/>
            </w:tcMar>
          </w:tcPr>
          <w:p>
            <w:pPr>
              <w:spacing w:after="40"/>
            </w:pPr>
            <w:r>
              <w:rPr>
                <w:sz w:val="21"/>
                <w:szCs w:val="21"/>
              </w:rPr>
              <w:t xml:space="preserve">Spring Data JPA</w:t>
            </w:r>
          </w:p>
        </w:tc>
        <w:tc>
          <w:tcPr>
            <w:tcW w:type="dxa" w:w="2100"/>
            <w:tcMar>
              <w:top w:type="dxa" w:w="90"/>
              <w:left w:type="dxa" w:w="120"/>
              <w:bottom w:type="dxa" w:w="90"/>
              <w:right w:type="dxa" w:w="120"/>
            </w:tcMar>
          </w:tcPr>
          <w:p>
            <w:pPr>
              <w:spacing w:after="40"/>
            </w:pPr>
            <w:r>
              <w:rPr>
                <w:sz w:val="21"/>
                <w:szCs w:val="21"/>
              </w:rPr>
              <w:t xml:space="preserve">gestionada por el BOM</w:t>
            </w:r>
          </w:p>
        </w:tc>
        <w:tc>
          <w:tcPr>
            <w:tcW w:type="dxa" w:w="5260"/>
            <w:tcMar>
              <w:top w:type="dxa" w:w="90"/>
              <w:left w:type="dxa" w:w="120"/>
              <w:bottom w:type="dxa" w:w="90"/>
              <w:right w:type="dxa" w:w="120"/>
            </w:tcMar>
          </w:tcPr>
          <w:p>
            <w:pPr>
              <w:spacing w:after="40"/>
            </w:pPr>
            <w:r>
              <w:rPr>
                <w:sz w:val="21"/>
                <w:szCs w:val="21"/>
              </w:rPr>
              <w:t xml:space="preserve">Acceso a datos por repositorios sobre PostgreSQL.</w:t>
            </w:r>
          </w:p>
        </w:tc>
      </w:tr>
      <w:tr>
        <w:tc>
          <w:tcPr>
            <w:tcW w:type="dxa" w:w="2000"/>
            <w:tcMar>
              <w:top w:type="dxa" w:w="90"/>
              <w:left w:type="dxa" w:w="120"/>
              <w:bottom w:type="dxa" w:w="90"/>
              <w:right w:type="dxa" w:w="120"/>
            </w:tcMar>
          </w:tcPr>
          <w:p>
            <w:pPr>
              <w:spacing w:after="40"/>
            </w:pPr>
            <w:r>
              <w:rPr>
                <w:sz w:val="21"/>
                <w:szCs w:val="21"/>
              </w:rPr>
              <w:t xml:space="preserve">Flyway</w:t>
            </w:r>
          </w:p>
        </w:tc>
        <w:tc>
          <w:tcPr>
            <w:tcW w:type="dxa" w:w="2100"/>
            <w:tcMar>
              <w:top w:type="dxa" w:w="90"/>
              <w:left w:type="dxa" w:w="120"/>
              <w:bottom w:type="dxa" w:w="90"/>
              <w:right w:type="dxa" w:w="120"/>
            </w:tcMar>
          </w:tcPr>
          <w:p>
            <w:pPr>
              <w:spacing w:after="40"/>
            </w:pPr>
            <w:r>
              <w:rPr>
                <w:sz w:val="21"/>
                <w:szCs w:val="21"/>
              </w:rPr>
              <w:t xml:space="preserve">gestionada por el BOM (Community)</w:t>
            </w:r>
          </w:p>
        </w:tc>
        <w:tc>
          <w:tcPr>
            <w:tcW w:type="dxa" w:w="5260"/>
            <w:tcMar>
              <w:top w:type="dxa" w:w="90"/>
              <w:left w:type="dxa" w:w="120"/>
              <w:bottom w:type="dxa" w:w="90"/>
              <w:right w:type="dxa" w:w="120"/>
            </w:tcMar>
          </w:tcPr>
          <w:p>
            <w:pPr>
              <w:spacing w:after="40"/>
            </w:pPr>
            <w:r>
              <w:rPr>
                <w:sz w:val="21"/>
                <w:szCs w:val="21"/>
              </w:rPr>
              <w:t xml:space="preserve">Control de versiones del esquema de base de datos (migraciones V1–V12).</w:t>
            </w:r>
          </w:p>
        </w:tc>
      </w:tr>
      <w:tr>
        <w:tc>
          <w:tcPr>
            <w:tcW w:type="dxa" w:w="2000"/>
            <w:tcMar>
              <w:top w:type="dxa" w:w="90"/>
              <w:left w:type="dxa" w:w="120"/>
              <w:bottom w:type="dxa" w:w="90"/>
              <w:right w:type="dxa" w:w="120"/>
            </w:tcMar>
          </w:tcPr>
          <w:p>
            <w:pPr>
              <w:spacing w:after="40"/>
            </w:pPr>
            <w:r>
              <w:rPr>
                <w:sz w:val="21"/>
                <w:szCs w:val="21"/>
              </w:rPr>
              <w:t xml:space="preserve">Render</w:t>
            </w:r>
          </w:p>
        </w:tc>
        <w:tc>
          <w:tcPr>
            <w:tcW w:type="dxa" w:w="2100"/>
            <w:tcMar>
              <w:top w:type="dxa" w:w="90"/>
              <w:left w:type="dxa" w:w="120"/>
              <w:bottom w:type="dxa" w:w="90"/>
              <w:right w:type="dxa" w:w="120"/>
            </w:tcMar>
          </w:tcPr>
          <w:p>
            <w:pPr>
              <w:spacing w:after="40"/>
            </w:pPr>
            <w:r>
              <w:rPr>
                <w:sz w:val="21"/>
                <w:szCs w:val="21"/>
              </w:rPr>
              <w:t xml:space="preserve">plataforma como servicio</w:t>
            </w:r>
          </w:p>
        </w:tc>
        <w:tc>
          <w:tcPr>
            <w:tcW w:type="dxa" w:w="5260"/>
            <w:tcMar>
              <w:top w:type="dxa" w:w="90"/>
              <w:left w:type="dxa" w:w="120"/>
              <w:bottom w:type="dxa" w:w="90"/>
              <w:right w:type="dxa" w:w="120"/>
            </w:tcMar>
          </w:tcPr>
          <w:p>
            <w:pPr>
              <w:spacing w:after="40"/>
            </w:pPr>
            <w:r>
              <w:rPr>
                <w:sz w:val="21"/>
                <w:szCs w:val="21"/>
              </w:rPr>
              <w:t xml:space="preserve">Desde el 21/9/2026, plan Standard (1c-2g: 1 vCPU, 2 GB de RAM); antes, nivel gratuito. Despliegue por contenedor Docker.</w:t>
            </w:r>
          </w:p>
        </w:tc>
      </w:tr>
    </w:tbl>
    <w:p>
      <w:pPr>
        <w:spacing w:after="160" w:line="276"/>
      </w:pPr>
      <w:r>
        <w:rPr>
          <w:sz w:val="22"/>
          <w:szCs w:val="22"/>
        </w:rPr>
        <w:t xml:space="preserve">Dependencias exactas: ver pom.xml en la raíz del repositorio (Maven, empaquetado con el wrapper ./mvnw, sin necesidad de tener Maven instalado).</w:t>
      </w:r>
    </w:p>
    <w:p>
      <w:pPr>
        <w:pStyle w:val="Heading1"/>
        <w:pageBreakBefore/>
        <w:pBdr>
          <w:bottom w:val="single" w:color="2E7D32" w:sz="6" w:space="4"/>
        </w:pBdr>
        <w:spacing w:after="200" w:before="420"/>
      </w:pPr>
      <w:r>
        <w:rPr>
          <w:b/>
          <w:bCs/>
          <w:color w:val="1B5E20"/>
          <w:sz w:val="30"/>
          <w:szCs w:val="30"/>
        </w:rPr>
        <w:t xml:space="preserve">3. Arquitectura y estructura del proyecto</w:t>
      </w:r>
    </w:p>
    <w:p>
      <w:pPr>
        <w:pStyle w:val="Heading2"/>
        <w:spacing w:after="140" w:before="320"/>
      </w:pPr>
      <w:r>
        <w:rPr>
          <w:b/>
          <w:bCs/>
          <w:color w:val="2E7D32"/>
          <w:sz w:val="24"/>
          <w:szCs w:val="24"/>
        </w:rPr>
        <w:t xml:space="preserve">3.1 Organización por dominio (no por capa técnica)</w:t>
      </w:r>
    </w:p>
    <w:p>
      <w:pPr>
        <w:spacing w:after="160" w:line="276"/>
      </w:pPr>
      <w:r>
        <w:rPr>
          <w:sz w:val="22"/>
          <w:szCs w:val="22"/>
        </w:rPr>
        <w:t xml:space="preserve">El código no se organiza en paquetes técnicos únicos ("controllers", "services", "repositories" a nivel raíz), sino en un paquete por módulo de negocio, y dentro de cada uno, opcionalmente, subpaquetes técnicos (domain, repository, service, web):</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200"/>
        <w:gridCol w:w="7160"/>
      </w:tblGrid>
      <w:tr>
        <w:trPr>
          <w:tblHeader/>
        </w:trPr>
        <w:tc>
          <w:tcPr>
            <w:tcW w:type="dxa" w:w="2200"/>
            <w:shd w:fill="E8F5E9" w:color="auto" w:val="clear"/>
            <w:tcMar>
              <w:top w:type="dxa" w:w="90"/>
              <w:left w:type="dxa" w:w="120"/>
              <w:bottom w:type="dxa" w:w="90"/>
              <w:right w:type="dxa" w:w="120"/>
            </w:tcMar>
          </w:tcPr>
          <w:p>
            <w:r>
              <w:rPr>
                <w:b/>
                <w:bCs/>
                <w:sz w:val="21"/>
                <w:szCs w:val="21"/>
              </w:rPr>
              <w:t xml:space="preserve">Paquete</w:t>
            </w:r>
          </w:p>
        </w:tc>
        <w:tc>
          <w:tcPr>
            <w:tcW w:type="dxa" w:w="7160"/>
            <w:shd w:fill="E8F5E9" w:color="auto" w:val="clear"/>
            <w:tcMar>
              <w:top w:type="dxa" w:w="90"/>
              <w:left w:type="dxa" w:w="120"/>
              <w:bottom w:type="dxa" w:w="90"/>
              <w:right w:type="dxa" w:w="120"/>
            </w:tcMar>
          </w:tcPr>
          <w:p>
            <w:r>
              <w:rPr>
                <w:b/>
                <w:bCs/>
                <w:sz w:val="21"/>
                <w:szCs w:val="21"/>
              </w:rPr>
              <w:t xml:space="preserve">Contenido</w:t>
            </w:r>
          </w:p>
        </w:tc>
      </w:tr>
      <w:tr>
        <w:tc>
          <w:tcPr>
            <w:tcW w:type="dxa" w:w="2200"/>
            <w:tcMar>
              <w:top w:type="dxa" w:w="90"/>
              <w:left w:type="dxa" w:w="120"/>
              <w:bottom w:type="dxa" w:w="90"/>
              <w:right w:type="dxa" w:w="120"/>
            </w:tcMar>
          </w:tcPr>
          <w:p>
            <w:pPr>
              <w:spacing w:after="40"/>
            </w:pPr>
            <w:r>
              <w:rPr>
                <w:sz w:val="21"/>
                <w:szCs w:val="21"/>
              </w:rPr>
              <w:t xml:space="preserve">contenido</w:t>
            </w:r>
          </w:p>
        </w:tc>
        <w:tc>
          <w:tcPr>
            <w:tcW w:type="dxa" w:w="7160"/>
            <w:tcMar>
              <w:top w:type="dxa" w:w="90"/>
              <w:left w:type="dxa" w:w="120"/>
              <w:bottom w:type="dxa" w:w="90"/>
              <w:right w:type="dxa" w:w="120"/>
            </w:tcMar>
          </w:tcPr>
          <w:p>
            <w:pPr>
              <w:spacing w:after="40"/>
            </w:pPr>
            <w:r>
              <w:rPr>
                <w:sz w:val="21"/>
                <w:szCs w:val="21"/>
              </w:rPr>
              <w:t xml:space="preserve">Recurso (Contenidos, Rutas y Contactos unificados), Categoria, PasoRuta, Imagen, CanalDirecto, ProcesadorImagen. El módulo más grande del proyecto.</w:t>
            </w:r>
          </w:p>
        </w:tc>
      </w:tr>
      <w:tr>
        <w:tc>
          <w:tcPr>
            <w:tcW w:type="dxa" w:w="2200"/>
            <w:tcMar>
              <w:top w:type="dxa" w:w="90"/>
              <w:left w:type="dxa" w:w="120"/>
              <w:bottom w:type="dxa" w:w="90"/>
              <w:right w:type="dxa" w:w="120"/>
            </w:tcMar>
          </w:tcPr>
          <w:p>
            <w:pPr>
              <w:spacing w:after="40"/>
            </w:pPr>
            <w:r>
              <w:rPr>
                <w:sz w:val="21"/>
                <w:szCs w:val="21"/>
              </w:rPr>
              <w:t xml:space="preserve">cuestionario</w:t>
            </w:r>
          </w:p>
        </w:tc>
        <w:tc>
          <w:tcPr>
            <w:tcW w:type="dxa" w:w="7160"/>
            <w:tcMar>
              <w:top w:type="dxa" w:w="90"/>
              <w:left w:type="dxa" w:w="120"/>
              <w:bottom w:type="dxa" w:w="90"/>
              <w:right w:type="dxa" w:w="120"/>
            </w:tcMar>
          </w:tcPr>
          <w:p>
            <w:pPr>
              <w:spacing w:after="40"/>
            </w:pPr>
            <w:r>
              <w:rPr>
                <w:sz w:val="21"/>
                <w:szCs w:val="21"/>
              </w:rPr>
              <w:t xml:space="preserve">Cuestionario, CuestionarioVersion, Pregunta, Opcion, NivelResultado, Recomendacion, CalculadoraNivel, ValidadorVersion.</w:t>
            </w:r>
          </w:p>
        </w:tc>
      </w:tr>
      <w:tr>
        <w:tc>
          <w:tcPr>
            <w:tcW w:type="dxa" w:w="2200"/>
            <w:tcMar>
              <w:top w:type="dxa" w:w="90"/>
              <w:left w:type="dxa" w:w="120"/>
              <w:bottom w:type="dxa" w:w="90"/>
              <w:right w:type="dxa" w:w="120"/>
            </w:tcMar>
          </w:tcPr>
          <w:p>
            <w:pPr>
              <w:spacing w:after="40"/>
            </w:pPr>
            <w:r>
              <w:rPr>
                <w:sz w:val="21"/>
                <w:szCs w:val="21"/>
              </w:rPr>
              <w:t xml:space="preserve">autoorientacion</w:t>
            </w:r>
          </w:p>
        </w:tc>
        <w:tc>
          <w:tcPr>
            <w:tcW w:type="dxa" w:w="7160"/>
            <w:tcMar>
              <w:top w:type="dxa" w:w="90"/>
              <w:left w:type="dxa" w:w="120"/>
              <w:bottom w:type="dxa" w:w="90"/>
              <w:right w:type="dxa" w:w="120"/>
            </w:tcMar>
          </w:tcPr>
          <w:p>
            <w:pPr>
              <w:spacing w:after="40"/>
            </w:pPr>
            <w:r>
              <w:rPr>
                <w:sz w:val="21"/>
                <w:szCs w:val="21"/>
              </w:rPr>
              <w:t xml:space="preserve">Flujo público del cuestionario (controlador + DTO de resultado) y la página de urgencia.</w:t>
            </w:r>
          </w:p>
        </w:tc>
      </w:tr>
      <w:tr>
        <w:tc>
          <w:tcPr>
            <w:tcW w:type="dxa" w:w="2200"/>
            <w:tcMar>
              <w:top w:type="dxa" w:w="90"/>
              <w:left w:type="dxa" w:w="120"/>
              <w:bottom w:type="dxa" w:w="90"/>
              <w:right w:type="dxa" w:w="120"/>
            </w:tcMar>
          </w:tcPr>
          <w:p>
            <w:pPr>
              <w:spacing w:after="40"/>
            </w:pPr>
            <w:r>
              <w:rPr>
                <w:sz w:val="21"/>
                <w:szCs w:val="21"/>
              </w:rPr>
              <w:t xml:space="preserve">identidad</w:t>
            </w:r>
          </w:p>
        </w:tc>
        <w:tc>
          <w:tcPr>
            <w:tcW w:type="dxa" w:w="7160"/>
            <w:tcMar>
              <w:top w:type="dxa" w:w="90"/>
              <w:left w:type="dxa" w:w="120"/>
              <w:bottom w:type="dxa" w:w="90"/>
              <w:right w:type="dxa" w:w="120"/>
            </w:tcMar>
          </w:tcPr>
          <w:p>
            <w:pPr>
              <w:spacing w:after="40"/>
            </w:pPr>
            <w:r>
              <w:rPr>
                <w:sz w:val="21"/>
                <w:szCs w:val="21"/>
              </w:rPr>
              <w:t xml:space="preserve">Usuario, Rol, autenticación, cambio de contraseña obligatorio, gestión de usuarios (exclusiva de ADMIN_TECNICO).</w:t>
            </w:r>
          </w:p>
        </w:tc>
      </w:tr>
      <w:tr>
        <w:tc>
          <w:tcPr>
            <w:tcW w:type="dxa" w:w="2200"/>
            <w:tcMar>
              <w:top w:type="dxa" w:w="90"/>
              <w:left w:type="dxa" w:w="120"/>
              <w:bottom w:type="dxa" w:w="90"/>
              <w:right w:type="dxa" w:w="120"/>
            </w:tcMar>
          </w:tcPr>
          <w:p>
            <w:pPr>
              <w:spacing w:after="40"/>
            </w:pPr>
            <w:r>
              <w:rPr>
                <w:sz w:val="21"/>
                <w:szCs w:val="21"/>
              </w:rPr>
              <w:t xml:space="preserve">bitacora</w:t>
            </w:r>
          </w:p>
        </w:tc>
        <w:tc>
          <w:tcPr>
            <w:tcW w:type="dxa" w:w="7160"/>
            <w:tcMar>
              <w:top w:type="dxa" w:w="90"/>
              <w:left w:type="dxa" w:w="120"/>
              <w:bottom w:type="dxa" w:w="90"/>
              <w:right w:type="dxa" w:w="120"/>
            </w:tcMar>
          </w:tcPr>
          <w:p>
            <w:pPr>
              <w:spacing w:after="40"/>
            </w:pPr>
            <w:r>
              <w:rPr>
                <w:sz w:val="21"/>
                <w:szCs w:val="21"/>
              </w:rPr>
              <w:t xml:space="preserve">Registro y visor de auditoría de cambios administrativos.</w:t>
            </w:r>
          </w:p>
        </w:tc>
      </w:tr>
      <w:tr>
        <w:tc>
          <w:tcPr>
            <w:tcW w:type="dxa" w:w="2200"/>
            <w:tcMar>
              <w:top w:type="dxa" w:w="90"/>
              <w:left w:type="dxa" w:w="120"/>
              <w:bottom w:type="dxa" w:w="90"/>
              <w:right w:type="dxa" w:w="120"/>
            </w:tcMar>
          </w:tcPr>
          <w:p>
            <w:pPr>
              <w:spacing w:after="40"/>
            </w:pPr>
            <w:r>
              <w:rPr>
                <w:sz w:val="21"/>
                <w:szCs w:val="21"/>
              </w:rPr>
              <w:t xml:space="preserve">parametros</w:t>
            </w:r>
          </w:p>
        </w:tc>
        <w:tc>
          <w:tcPr>
            <w:tcW w:type="dxa" w:w="7160"/>
            <w:tcMar>
              <w:top w:type="dxa" w:w="90"/>
              <w:left w:type="dxa" w:w="120"/>
              <w:bottom w:type="dxa" w:w="90"/>
              <w:right w:type="dxa" w:w="120"/>
            </w:tcMar>
          </w:tcPr>
          <w:p>
            <w:pPr>
              <w:spacing w:after="40"/>
            </w:pPr>
            <w:r>
              <w:rPr>
                <w:sz w:val="21"/>
                <w:szCs w:val="21"/>
              </w:rPr>
              <w:t xml:space="preserve">Catálogo clave/valor editable (canal institucional, avisos, mensaje de urgencia).</w:t>
            </w:r>
          </w:p>
        </w:tc>
      </w:tr>
      <w:tr>
        <w:tc>
          <w:tcPr>
            <w:tcW w:type="dxa" w:w="2200"/>
            <w:tcMar>
              <w:top w:type="dxa" w:w="90"/>
              <w:left w:type="dxa" w:w="120"/>
              <w:bottom w:type="dxa" w:w="90"/>
              <w:right w:type="dxa" w:w="120"/>
            </w:tcMar>
          </w:tcPr>
          <w:p>
            <w:pPr>
              <w:spacing w:after="40"/>
            </w:pPr>
            <w:r>
              <w:rPr>
                <w:sz w:val="21"/>
                <w:szCs w:val="21"/>
              </w:rPr>
              <w:t xml:space="preserve">analitica</w:t>
            </w:r>
          </w:p>
        </w:tc>
        <w:tc>
          <w:tcPr>
            <w:tcW w:type="dxa" w:w="7160"/>
            <w:tcMar>
              <w:top w:type="dxa" w:w="90"/>
              <w:left w:type="dxa" w:w="120"/>
              <w:bottom w:type="dxa" w:w="90"/>
              <w:right w:type="dxa" w:w="120"/>
            </w:tcMar>
          </w:tcPr>
          <w:p>
            <w:pPr>
              <w:spacing w:after="40"/>
            </w:pPr>
            <w:r>
              <w:rPr>
                <w:sz w:val="21"/>
                <w:szCs w:val="21"/>
              </w:rPr>
              <w:t xml:space="preserve">Reportes agregados de uso y exportación CSV.</w:t>
            </w:r>
          </w:p>
        </w:tc>
      </w:tr>
      <w:tr>
        <w:tc>
          <w:tcPr>
            <w:tcW w:type="dxa" w:w="2200"/>
            <w:tcMar>
              <w:top w:type="dxa" w:w="90"/>
              <w:left w:type="dxa" w:w="120"/>
              <w:bottom w:type="dxa" w:w="90"/>
              <w:right w:type="dxa" w:w="120"/>
            </w:tcMar>
          </w:tcPr>
          <w:p>
            <w:pPr>
              <w:spacing w:after="40"/>
            </w:pPr>
            <w:r>
              <w:rPr>
                <w:sz w:val="21"/>
                <w:szCs w:val="21"/>
              </w:rPr>
              <w:t xml:space="preserve">common</w:t>
            </w:r>
          </w:p>
        </w:tc>
        <w:tc>
          <w:tcPr>
            <w:tcW w:type="dxa" w:w="7160"/>
            <w:tcMar>
              <w:top w:type="dxa" w:w="90"/>
              <w:left w:type="dxa" w:w="120"/>
              <w:bottom w:type="dxa" w:w="90"/>
              <w:right w:type="dxa" w:w="120"/>
            </w:tcMar>
          </w:tcPr>
          <w:p>
            <w:pPr>
              <w:spacing w:after="40"/>
            </w:pPr>
            <w:r>
              <w:rPr>
                <w:sz w:val="21"/>
                <w:szCs w:val="21"/>
              </w:rPr>
              <w:t xml:space="preserve">Utilidades compartidas: manejo seguro de errores (PortalErrorAttributes), generación de slugs.</w:t>
            </w:r>
          </w:p>
        </w:tc>
      </w:tr>
      <w:tr>
        <w:tc>
          <w:tcPr>
            <w:tcW w:type="dxa" w:w="2200"/>
            <w:tcMar>
              <w:top w:type="dxa" w:w="90"/>
              <w:left w:type="dxa" w:w="120"/>
              <w:bottom w:type="dxa" w:w="90"/>
              <w:right w:type="dxa" w:w="120"/>
            </w:tcMar>
          </w:tcPr>
          <w:p>
            <w:pPr>
              <w:spacing w:after="40"/>
            </w:pPr>
            <w:r>
              <w:rPr>
                <w:sz w:val="21"/>
                <w:szCs w:val="21"/>
              </w:rPr>
              <w:t xml:space="preserve">config</w:t>
            </w:r>
          </w:p>
        </w:tc>
        <w:tc>
          <w:tcPr>
            <w:tcW w:type="dxa" w:w="7160"/>
            <w:tcMar>
              <w:top w:type="dxa" w:w="90"/>
              <w:left w:type="dxa" w:w="120"/>
              <w:bottom w:type="dxa" w:w="90"/>
              <w:right w:type="dxa" w:w="120"/>
            </w:tcMar>
          </w:tcPr>
          <w:p>
            <w:pPr>
              <w:spacing w:after="40"/>
            </w:pPr>
            <w:r>
              <w:rPr>
                <w:sz w:val="21"/>
                <w:szCs w:val="21"/>
              </w:rPr>
              <w:t xml:space="preserve">Configuración transversal: seguridad (SecurityConfig), auditoría JPA, MVC, traducción de DATABASE_URL de Render.</w:t>
            </w:r>
          </w:p>
        </w:tc>
      </w:tr>
    </w:tbl>
    <w:p>
      <w:pPr>
        <w:spacing w:after="160" w:line="276"/>
      </w:pPr>
      <w:r>
        <w:rPr>
          <w:sz w:val="22"/>
          <w:szCs w:val="22"/>
        </w:rPr>
        <w:t xml:space="preserve">Dentro de un módulo, el flujo típico es web (controlador) → service (reglas de negocio, transacciones, @PreAuthorize) → repository (Spring Data JPA) → domain (entidades JPA). No todos los módulos tienen las cuatro capas — parametros y otros módulos pequeños concentran lógica en el service sin una capa domain separada cuando no hace falta.</w:t>
      </w:r>
    </w:p>
    <w:p>
      <w:pPr>
        <w:pStyle w:val="Heading2"/>
        <w:spacing w:after="140" w:before="320"/>
      </w:pPr>
      <w:r>
        <w:rPr>
          <w:b/>
          <w:bCs/>
          <w:color w:val="2E7D32"/>
          <w:sz w:val="24"/>
          <w:szCs w:val="24"/>
        </w:rPr>
        <w:t xml:space="preserve">3.2 Convenciones de nombres</w:t>
      </w:r>
    </w:p>
    <w:p>
      <w:pPr>
        <w:spacing w:after="160" w:line="276"/>
      </w:pPr>
      <w:r>
        <w:rPr>
          <w:sz w:val="22"/>
          <w:szCs w:val="22"/>
        </w:rPr>
        <w:t xml:space="preserve">Paquete base: co.edu.uts.portal. El código, los comentarios y los nombres de clase están en español (dominio del proyecto), salvo términos técnicos estándar de Spring. Las plantillas Thymeleaf siguen la misma partición por módulo bajo templates/admin/* y templates/publico/*.</w:t>
      </w:r>
    </w:p>
    <w:p>
      <w:pPr>
        <w:pStyle w:val="Heading1"/>
        <w:pageBreakBefore/>
        <w:pBdr>
          <w:bottom w:val="single" w:color="2E7D32" w:sz="6" w:space="4"/>
        </w:pBdr>
        <w:spacing w:after="200" w:before="420"/>
      </w:pPr>
      <w:r>
        <w:rPr>
          <w:b/>
          <w:bCs/>
          <w:color w:val="1B5E20"/>
          <w:sz w:val="30"/>
          <w:szCs w:val="30"/>
        </w:rPr>
        <w:t xml:space="preserve">4. Modelo de datos</w:t>
      </w:r>
    </w:p>
    <w:p>
      <w:pPr>
        <w:spacing w:after="160" w:line="276"/>
      </w:pPr>
      <w:r>
        <w:rPr>
          <w:sz w:val="22"/>
          <w:szCs w:val="22"/>
        </w:rPr>
        <w:t xml:space="preserve">La Figura 1 presenta el modelo entidad-relación completo, generado a partir del esquema real verificado en producción (consulta de solo lectura sobre information_schema), no de un diseño preliminar.</w:t>
      </w:r>
    </w:p>
    <w:p>
      <w:pPr>
        <w:spacing w:after="60" w:before="160"/>
        <w:jc w:val="center"/>
      </w:pPr>
      <w:r>
        <w:drawing>
          <wp:inline distT="0" distB="0" distL="0" distR="0">
            <wp:extent cx="2857500" cy="661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610350"/>
                    </a:xfrm>
                    <a:prstGeom prst="rect">
                      <a:avLst/>
                    </a:prstGeom>
                  </pic:spPr>
                </pic:pic>
              </a:graphicData>
            </a:graphic>
          </wp:inline>
        </w:drawing>
      </w:r>
    </w:p>
    <w:p>
      <w:pPr>
        <w:spacing w:after="220"/>
        <w:jc w:val="center"/>
      </w:pPr>
      <w:r>
        <w:rPr>
          <w:i/>
          <w:iCs/>
          <w:color w:val="666666"/>
          <w:sz w:val="18"/>
          <w:szCs w:val="18"/>
        </w:rPr>
        <w:t xml:space="preserve">Figura 1. Modelo entidad-relación del portal.</w:t>
      </w:r>
    </w:p>
    <w:p>
      <w:pPr>
        <w:pStyle w:val="Heading2"/>
        <w:spacing w:after="140" w:before="320"/>
      </w:pPr>
      <w:r>
        <w:rPr>
          <w:b/>
          <w:bCs/>
          <w:color w:val="2E7D32"/>
          <w:sz w:val="24"/>
          <w:szCs w:val="24"/>
        </w:rPr>
        <w:t xml:space="preserve">4.1 Entidades principales</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600"/>
        <w:gridCol w:w="6760"/>
      </w:tblGrid>
      <w:tr>
        <w:trPr>
          <w:tblHeader/>
        </w:trPr>
        <w:tc>
          <w:tcPr>
            <w:tcW w:type="dxa" w:w="2600"/>
            <w:shd w:fill="E8F5E9" w:color="auto" w:val="clear"/>
            <w:tcMar>
              <w:top w:type="dxa" w:w="90"/>
              <w:left w:type="dxa" w:w="120"/>
              <w:bottom w:type="dxa" w:w="90"/>
              <w:right w:type="dxa" w:w="120"/>
            </w:tcMar>
          </w:tcPr>
          <w:p>
            <w:r>
              <w:rPr>
                <w:b/>
                <w:bCs/>
                <w:sz w:val="21"/>
                <w:szCs w:val="21"/>
              </w:rPr>
              <w:t xml:space="preserve">Tabla</w:t>
            </w:r>
          </w:p>
        </w:tc>
        <w:tc>
          <w:tcPr>
            <w:tcW w:type="dxa" w:w="6760"/>
            <w:shd w:fill="E8F5E9" w:color="auto" w:val="clear"/>
            <w:tcMar>
              <w:top w:type="dxa" w:w="90"/>
              <w:left w:type="dxa" w:w="120"/>
              <w:bottom w:type="dxa" w:w="90"/>
              <w:right w:type="dxa" w:w="120"/>
            </w:tcMar>
          </w:tcPr>
          <w:p>
            <w:r>
              <w:rPr>
                <w:b/>
                <w:bCs/>
                <w:sz w:val="21"/>
                <w:szCs w:val="21"/>
              </w:rPr>
              <w:t xml:space="preserve">Qué representa</w:t>
            </w:r>
          </w:p>
        </w:tc>
      </w:tr>
      <w:tr>
        <w:tc>
          <w:tcPr>
            <w:tcW w:type="dxa" w:w="2600"/>
            <w:tcMar>
              <w:top w:type="dxa" w:w="90"/>
              <w:left w:type="dxa" w:w="120"/>
              <w:bottom w:type="dxa" w:w="90"/>
              <w:right w:type="dxa" w:w="120"/>
            </w:tcMar>
          </w:tcPr>
          <w:p>
            <w:pPr>
              <w:spacing w:after="40"/>
            </w:pPr>
            <w:r>
              <w:rPr>
                <w:sz w:val="21"/>
                <w:szCs w:val="21"/>
              </w:rPr>
              <w:t xml:space="preserve">categoria</w:t>
            </w:r>
          </w:p>
        </w:tc>
        <w:tc>
          <w:tcPr>
            <w:tcW w:type="dxa" w:w="6760"/>
            <w:tcMar>
              <w:top w:type="dxa" w:w="90"/>
              <w:left w:type="dxa" w:w="120"/>
              <w:bottom w:type="dxa" w:w="90"/>
              <w:right w:type="dxa" w:w="120"/>
            </w:tcMar>
          </w:tcPr>
          <w:p>
            <w:pPr>
              <w:spacing w:after="40"/>
            </w:pPr>
            <w:r>
              <w:rPr>
                <w:sz w:val="21"/>
                <w:szCs w:val="21"/>
              </w:rPr>
              <w:t xml:space="preserve">Clasificación temática de Contenidos y Rutas.</w:t>
            </w:r>
          </w:p>
        </w:tc>
      </w:tr>
      <w:tr>
        <w:tc>
          <w:tcPr>
            <w:tcW w:type="dxa" w:w="2600"/>
            <w:tcMar>
              <w:top w:type="dxa" w:w="90"/>
              <w:left w:type="dxa" w:w="120"/>
              <w:bottom w:type="dxa" w:w="90"/>
              <w:right w:type="dxa" w:w="120"/>
            </w:tcMar>
          </w:tcPr>
          <w:p>
            <w:pPr>
              <w:spacing w:after="40"/>
            </w:pPr>
            <w:r>
              <w:rPr>
                <w:sz w:val="21"/>
                <w:szCs w:val="21"/>
              </w:rPr>
              <w:t xml:space="preserve">recurso</w:t>
            </w:r>
          </w:p>
        </w:tc>
        <w:tc>
          <w:tcPr>
            <w:tcW w:type="dxa" w:w="6760"/>
            <w:tcMar>
              <w:top w:type="dxa" w:w="90"/>
              <w:left w:type="dxa" w:w="120"/>
              <w:bottom w:type="dxa" w:w="90"/>
              <w:right w:type="dxa" w:w="120"/>
            </w:tcMar>
          </w:tcPr>
          <w:p>
            <w:pPr>
              <w:spacing w:after="40"/>
            </w:pPr>
            <w:r>
              <w:rPr>
                <w:sz w:val="21"/>
                <w:szCs w:val="21"/>
              </w:rPr>
              <w:t xml:space="preserve">Entidad unificada de Contenidos, Rutas y Contactos, diferenciada por la columna tipo. Decisión de diseño clave — ver sección 8.1.</w:t>
            </w:r>
          </w:p>
        </w:tc>
      </w:tr>
      <w:tr>
        <w:tc>
          <w:tcPr>
            <w:tcW w:type="dxa" w:w="2600"/>
            <w:tcMar>
              <w:top w:type="dxa" w:w="90"/>
              <w:left w:type="dxa" w:w="120"/>
              <w:bottom w:type="dxa" w:w="90"/>
              <w:right w:type="dxa" w:w="120"/>
            </w:tcMar>
          </w:tcPr>
          <w:p>
            <w:pPr>
              <w:spacing w:after="40"/>
            </w:pPr>
            <w:r>
              <w:rPr>
                <w:sz w:val="21"/>
                <w:szCs w:val="21"/>
              </w:rPr>
              <w:t xml:space="preserve">recurso_categoria</w:t>
            </w:r>
          </w:p>
        </w:tc>
        <w:tc>
          <w:tcPr>
            <w:tcW w:type="dxa" w:w="6760"/>
            <w:tcMar>
              <w:top w:type="dxa" w:w="90"/>
              <w:left w:type="dxa" w:w="120"/>
              <w:bottom w:type="dxa" w:w="90"/>
              <w:right w:type="dxa" w:w="120"/>
            </w:tcMar>
          </w:tcPr>
          <w:p>
            <w:pPr>
              <w:spacing w:after="40"/>
            </w:pPr>
            <w:r>
              <w:rPr>
                <w:sz w:val="21"/>
                <w:szCs w:val="21"/>
              </w:rPr>
              <w:t xml:space="preserve">Unión N:M entre recurso y categoria.</w:t>
            </w:r>
          </w:p>
        </w:tc>
      </w:tr>
      <w:tr>
        <w:tc>
          <w:tcPr>
            <w:tcW w:type="dxa" w:w="2600"/>
            <w:tcMar>
              <w:top w:type="dxa" w:w="90"/>
              <w:left w:type="dxa" w:w="120"/>
              <w:bottom w:type="dxa" w:w="90"/>
              <w:right w:type="dxa" w:w="120"/>
            </w:tcMar>
          </w:tcPr>
          <w:p>
            <w:pPr>
              <w:spacing w:after="40"/>
            </w:pPr>
            <w:r>
              <w:rPr>
                <w:sz w:val="21"/>
                <w:szCs w:val="21"/>
              </w:rPr>
              <w:t xml:space="preserve">paso_ruta</w:t>
            </w:r>
          </w:p>
        </w:tc>
        <w:tc>
          <w:tcPr>
            <w:tcW w:type="dxa" w:w="6760"/>
            <w:tcMar>
              <w:top w:type="dxa" w:w="90"/>
              <w:left w:type="dxa" w:w="120"/>
              <w:bottom w:type="dxa" w:w="90"/>
              <w:right w:type="dxa" w:w="120"/>
            </w:tcMar>
          </w:tcPr>
          <w:p>
            <w:pPr>
              <w:spacing w:after="40"/>
            </w:pPr>
            <w:r>
              <w:rPr>
                <w:sz w:val="21"/>
                <w:szCs w:val="21"/>
              </w:rPr>
              <w:t xml:space="preserve">Pasos numerados dentro de una Ruta, con imagen opcional.</w:t>
            </w:r>
          </w:p>
        </w:tc>
      </w:tr>
      <w:tr>
        <w:tc>
          <w:tcPr>
            <w:tcW w:type="dxa" w:w="2600"/>
            <w:tcMar>
              <w:top w:type="dxa" w:w="90"/>
              <w:left w:type="dxa" w:w="120"/>
              <w:bottom w:type="dxa" w:w="90"/>
              <w:right w:type="dxa" w:w="120"/>
            </w:tcMar>
          </w:tcPr>
          <w:p>
            <w:pPr>
              <w:spacing w:after="40"/>
            </w:pPr>
            <w:r>
              <w:rPr>
                <w:sz w:val="21"/>
                <w:szCs w:val="21"/>
              </w:rPr>
              <w:t xml:space="preserve">imagen</w:t>
            </w:r>
          </w:p>
        </w:tc>
        <w:tc>
          <w:tcPr>
            <w:tcW w:type="dxa" w:w="6760"/>
            <w:tcMar>
              <w:top w:type="dxa" w:w="90"/>
              <w:left w:type="dxa" w:w="120"/>
              <w:bottom w:type="dxa" w:w="90"/>
              <w:right w:type="dxa" w:w="120"/>
            </w:tcMar>
          </w:tcPr>
          <w:p>
            <w:pPr>
              <w:spacing w:after="40"/>
            </w:pPr>
            <w:r>
              <w:rPr>
                <w:sz w:val="21"/>
                <w:szCs w:val="21"/>
              </w:rPr>
              <w:t xml:space="preserve">Imágenes subidas (bytes en la propia base de datos, sin servicio externo de almacenamiento).</w:t>
            </w:r>
          </w:p>
        </w:tc>
      </w:tr>
      <w:tr>
        <w:tc>
          <w:tcPr>
            <w:tcW w:type="dxa" w:w="2600"/>
            <w:tcMar>
              <w:top w:type="dxa" w:w="90"/>
              <w:left w:type="dxa" w:w="120"/>
              <w:bottom w:type="dxa" w:w="90"/>
              <w:right w:type="dxa" w:w="120"/>
            </w:tcMar>
          </w:tcPr>
          <w:p>
            <w:pPr>
              <w:spacing w:after="40"/>
            </w:pPr>
            <w:r>
              <w:rPr>
                <w:sz w:val="21"/>
                <w:szCs w:val="21"/>
              </w:rPr>
              <w:t xml:space="preserve">cuestionario / cuestionario_version</w:t>
            </w:r>
          </w:p>
        </w:tc>
        <w:tc>
          <w:tcPr>
            <w:tcW w:type="dxa" w:w="6760"/>
            <w:tcMar>
              <w:top w:type="dxa" w:w="90"/>
              <w:left w:type="dxa" w:w="120"/>
              <w:bottom w:type="dxa" w:w="90"/>
              <w:right w:type="dxa" w:w="120"/>
            </w:tcMar>
          </w:tcPr>
          <w:p>
            <w:pPr>
              <w:spacing w:after="40"/>
            </w:pPr>
            <w:r>
              <w:rPr>
                <w:sz w:val="21"/>
                <w:szCs w:val="21"/>
              </w:rPr>
              <w:t xml:space="preserve">Datos generales del cuestionario y su versionado inmutable (ver sección 8.2).</w:t>
            </w:r>
          </w:p>
        </w:tc>
      </w:tr>
      <w:tr>
        <w:tc>
          <w:tcPr>
            <w:tcW w:type="dxa" w:w="2600"/>
            <w:tcMar>
              <w:top w:type="dxa" w:w="90"/>
              <w:left w:type="dxa" w:w="120"/>
              <w:bottom w:type="dxa" w:w="90"/>
              <w:right w:type="dxa" w:w="120"/>
            </w:tcMar>
          </w:tcPr>
          <w:p>
            <w:pPr>
              <w:spacing w:after="40"/>
            </w:pPr>
            <w:r>
              <w:rPr>
                <w:sz w:val="21"/>
                <w:szCs w:val="21"/>
              </w:rPr>
              <w:t xml:space="preserve">pregunta / opcion</w:t>
            </w:r>
          </w:p>
        </w:tc>
        <w:tc>
          <w:tcPr>
            <w:tcW w:type="dxa" w:w="6760"/>
            <w:tcMar>
              <w:top w:type="dxa" w:w="90"/>
              <w:left w:type="dxa" w:w="120"/>
              <w:bottom w:type="dxa" w:w="90"/>
              <w:right w:type="dxa" w:w="120"/>
            </w:tcMar>
          </w:tcPr>
          <w:p>
            <w:pPr>
              <w:spacing w:after="40"/>
            </w:pPr>
            <w:r>
              <w:rPr>
                <w:sz w:val="21"/>
                <w:szCs w:val="21"/>
              </w:rPr>
              <w:t xml:space="preserve">Preguntas y opciones de respuesta de una versión, con el puntaje de cada opción.</w:t>
            </w:r>
          </w:p>
        </w:tc>
      </w:tr>
      <w:tr>
        <w:tc>
          <w:tcPr>
            <w:tcW w:type="dxa" w:w="2600"/>
            <w:tcMar>
              <w:top w:type="dxa" w:w="90"/>
              <w:left w:type="dxa" w:w="120"/>
              <w:bottom w:type="dxa" w:w="90"/>
              <w:right w:type="dxa" w:w="120"/>
            </w:tcMar>
          </w:tcPr>
          <w:p>
            <w:pPr>
              <w:spacing w:after="40"/>
            </w:pPr>
            <w:r>
              <w:rPr>
                <w:sz w:val="21"/>
                <w:szCs w:val="21"/>
              </w:rPr>
              <w:t xml:space="preserve">nivel_resultado / recomendacion</w:t>
            </w:r>
          </w:p>
        </w:tc>
        <w:tc>
          <w:tcPr>
            <w:tcW w:type="dxa" w:w="6760"/>
            <w:tcMar>
              <w:top w:type="dxa" w:w="90"/>
              <w:left w:type="dxa" w:w="120"/>
              <w:bottom w:type="dxa" w:w="90"/>
              <w:right w:type="dxa" w:w="120"/>
            </w:tcMar>
          </w:tcPr>
          <w:p>
            <w:pPr>
              <w:spacing w:after="40"/>
            </w:pPr>
            <w:r>
              <w:rPr>
                <w:sz w:val="21"/>
                <w:szCs w:val="21"/>
              </w:rPr>
              <w:t xml:space="preserve">Rango de puntaje con su explicación, y las recomendaciones de texto asociadas.</w:t>
            </w:r>
          </w:p>
        </w:tc>
      </w:tr>
      <w:tr>
        <w:tc>
          <w:tcPr>
            <w:tcW w:type="dxa" w:w="2600"/>
            <w:tcMar>
              <w:top w:type="dxa" w:w="90"/>
              <w:left w:type="dxa" w:w="120"/>
              <w:bottom w:type="dxa" w:w="90"/>
              <w:right w:type="dxa" w:w="120"/>
            </w:tcMar>
          </w:tcPr>
          <w:p>
            <w:pPr>
              <w:spacing w:after="40"/>
            </w:pPr>
            <w:r>
              <w:rPr>
                <w:sz w:val="21"/>
                <w:szCs w:val="21"/>
              </w:rPr>
              <w:t xml:space="preserve">nivel_ruta</w:t>
            </w:r>
          </w:p>
        </w:tc>
        <w:tc>
          <w:tcPr>
            <w:tcW w:type="dxa" w:w="6760"/>
            <w:tcMar>
              <w:top w:type="dxa" w:w="90"/>
              <w:left w:type="dxa" w:w="120"/>
              <w:bottom w:type="dxa" w:w="90"/>
              <w:right w:type="dxa" w:w="120"/>
            </w:tcMar>
          </w:tcPr>
          <w:p>
            <w:pPr>
              <w:spacing w:after="40"/>
            </w:pPr>
            <w:r>
              <w:rPr>
                <w:sz w:val="21"/>
                <w:szCs w:val="21"/>
              </w:rPr>
              <w:t xml:space="preserve">Unión N:M entre nivel_resultado y recurso: qué Rutas se sugieren para cada nivel de resultado.</w:t>
            </w:r>
          </w:p>
        </w:tc>
      </w:tr>
      <w:tr>
        <w:tc>
          <w:tcPr>
            <w:tcW w:type="dxa" w:w="2600"/>
            <w:tcMar>
              <w:top w:type="dxa" w:w="90"/>
              <w:left w:type="dxa" w:w="120"/>
              <w:bottom w:type="dxa" w:w="90"/>
              <w:right w:type="dxa" w:w="120"/>
            </w:tcMar>
          </w:tcPr>
          <w:p>
            <w:pPr>
              <w:spacing w:after="40"/>
            </w:pPr>
            <w:r>
              <w:rPr>
                <w:sz w:val="21"/>
                <w:szCs w:val="21"/>
              </w:rPr>
              <w:t xml:space="preserve">parametro</w:t>
            </w:r>
          </w:p>
        </w:tc>
        <w:tc>
          <w:tcPr>
            <w:tcW w:type="dxa" w:w="6760"/>
            <w:tcMar>
              <w:top w:type="dxa" w:w="90"/>
              <w:left w:type="dxa" w:w="120"/>
              <w:bottom w:type="dxa" w:w="90"/>
              <w:right w:type="dxa" w:w="120"/>
            </w:tcMar>
          </w:tcPr>
          <w:p>
            <w:pPr>
              <w:spacing w:after="40"/>
            </w:pPr>
            <w:r>
              <w:rPr>
                <w:sz w:val="21"/>
                <w:szCs w:val="21"/>
              </w:rPr>
              <w:t xml:space="preserve">Parámetros operativos configurables sin tocar código (canal institucional, avisos, mensaje de urgencia).</w:t>
            </w:r>
          </w:p>
        </w:tc>
      </w:tr>
      <w:tr>
        <w:tc>
          <w:tcPr>
            <w:tcW w:type="dxa" w:w="2600"/>
            <w:tcMar>
              <w:top w:type="dxa" w:w="90"/>
              <w:left w:type="dxa" w:w="120"/>
              <w:bottom w:type="dxa" w:w="90"/>
              <w:right w:type="dxa" w:w="120"/>
            </w:tcMar>
          </w:tcPr>
          <w:p>
            <w:pPr>
              <w:spacing w:after="40"/>
            </w:pPr>
            <w:r>
              <w:rPr>
                <w:sz w:val="21"/>
                <w:szCs w:val="21"/>
              </w:rPr>
              <w:t xml:space="preserve">usuario / rol / usuario_rol</w:t>
            </w:r>
          </w:p>
        </w:tc>
        <w:tc>
          <w:tcPr>
            <w:tcW w:type="dxa" w:w="6760"/>
            <w:tcMar>
              <w:top w:type="dxa" w:w="90"/>
              <w:left w:type="dxa" w:w="120"/>
              <w:bottom w:type="dxa" w:w="90"/>
              <w:right w:type="dxa" w:w="120"/>
            </w:tcMar>
          </w:tcPr>
          <w:p>
            <w:pPr>
              <w:spacing w:after="40"/>
            </w:pPr>
            <w:r>
              <w:rPr>
                <w:sz w:val="21"/>
                <w:szCs w:val="21"/>
              </w:rPr>
              <w:t xml:space="preserve">Cuentas administrativas y sus roles. No existen cuentas de estudiante: el portal público no requiere sesión.</w:t>
            </w:r>
          </w:p>
        </w:tc>
      </w:tr>
      <w:tr>
        <w:tc>
          <w:tcPr>
            <w:tcW w:type="dxa" w:w="2600"/>
            <w:tcMar>
              <w:top w:type="dxa" w:w="90"/>
              <w:left w:type="dxa" w:w="120"/>
              <w:bottom w:type="dxa" w:w="90"/>
              <w:right w:type="dxa" w:w="120"/>
            </w:tcMar>
          </w:tcPr>
          <w:p>
            <w:pPr>
              <w:spacing w:after="40"/>
            </w:pPr>
            <w:r>
              <w:rPr>
                <w:sz w:val="21"/>
                <w:szCs w:val="21"/>
              </w:rPr>
              <w:t xml:space="preserve">registro_bitacora</w:t>
            </w:r>
          </w:p>
        </w:tc>
        <w:tc>
          <w:tcPr>
            <w:tcW w:type="dxa" w:w="6760"/>
            <w:tcMar>
              <w:top w:type="dxa" w:w="90"/>
              <w:left w:type="dxa" w:w="120"/>
              <w:bottom w:type="dxa" w:w="90"/>
              <w:right w:type="dxa" w:w="120"/>
            </w:tcMar>
          </w:tcPr>
          <w:p>
            <w:pPr>
              <w:spacing w:after="40"/>
            </w:pPr>
            <w:r>
              <w:rPr>
                <w:sz w:val="21"/>
                <w:szCs w:val="21"/>
              </w:rPr>
              <w:t xml:space="preserve">Auditoría de cambios administrativos. Nunca incluye contraseñas ni datos sensibles en texto claro.</w:t>
            </w:r>
          </w:p>
        </w:tc>
      </w:tr>
    </w:tbl>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El diccionario de datos completo (columna por columna, con tipos, nulabilidad y valores por defecto) está en el Apéndice B del documento F-DC-125.</w:t>
            </w:r>
          </w:p>
          <w:p>
            <w:pPr>
              <w:spacing w:after="0"/>
            </w:pPr>
            <w:r>
              <w:rPr>
                <w:sz w:val="21"/>
                <w:szCs w:val="21"/>
              </w:rPr>
              <w:t xml:space="preserve">Esta sección resume las entidades para orientar la lectura del modelo; para el detalle exacto de cada columna, consultar ese apéndice.</w:t>
            </w:r>
          </w:p>
        </w:tc>
      </w:tr>
    </w:tbl>
    <w:p>
      <w:pPr>
        <w:pStyle w:val="Heading2"/>
        <w:spacing w:after="140" w:before="320"/>
      </w:pPr>
      <w:r>
        <w:rPr>
          <w:b/>
          <w:bCs/>
          <w:color w:val="2E7D32"/>
          <w:sz w:val="24"/>
          <w:szCs w:val="24"/>
        </w:rPr>
        <w:t xml:space="preserve">4.2 Puntos que no son evidentes solo con el diagrama</w:t>
      </w:r>
    </w:p>
    <w:p>
      <w:pPr>
        <w:pStyle w:val="ListParagraph"/>
        <w:numPr>
          <w:ilvl w:val="0"/>
          <w:numId w:val="4"/>
        </w:numPr>
        <w:spacing w:after="80" w:line="276"/>
      </w:pPr>
      <w:r>
        <w:rPr>
          <w:sz w:val="22"/>
          <w:szCs w:val="22"/>
        </w:rPr>
        <w:t xml:space="preserve">No existe ninguna tabla de “respuestas” o “resultados” de autoorientación: por diseño, el cálculo del nivel ocurre en memoria durante la petición HTTP y no se persiste nada identificable ni agregado a nivel de respuesta individual (RF-13, RS-13).</w:t>
      </w:r>
    </w:p>
    <w:p>
      <w:pPr>
        <w:pStyle w:val="ListParagraph"/>
        <w:numPr>
          <w:ilvl w:val="0"/>
          <w:numId w:val="4"/>
        </w:numPr>
        <w:spacing w:after="80" w:line="276"/>
      </w:pPr>
      <w:r>
        <w:rPr>
          <w:sz w:val="22"/>
          <w:szCs w:val="22"/>
        </w:rPr>
        <w:t xml:space="preserve">Los únicos contadores que se guardan son agregados y no identifican a nadie: recurso.vistas, recurso.valoraciones_util / valoraciones_no_util y nivel_resultado.veces_obtenido.</w:t>
      </w:r>
    </w:p>
    <w:p>
      <w:pPr>
        <w:pStyle w:val="ListParagraph"/>
        <w:numPr>
          <w:ilvl w:val="0"/>
          <w:numId w:val="4"/>
        </w:numPr>
        <w:spacing w:after="80" w:line="276"/>
      </w:pPr>
      <w:r>
        <w:rPr>
          <w:sz w:val="22"/>
          <w:szCs w:val="22"/>
        </w:rPr>
        <w:t xml:space="preserve">La relación entre un nivel de resultado y las Rutas sugeridas vive en nivel_ruta (N:M contra recurso), no en recomendacion — una recomendación es solo texto.</w:t>
      </w:r>
    </w:p>
    <w:p>
      <w:pPr>
        <w:pStyle w:val="Heading1"/>
        <w:pageBreakBefore/>
        <w:pBdr>
          <w:bottom w:val="single" w:color="2E7D32" w:sz="6" w:space="4"/>
        </w:pBdr>
        <w:spacing w:after="200" w:before="420"/>
      </w:pPr>
      <w:r>
        <w:rPr>
          <w:b/>
          <w:bCs/>
          <w:color w:val="1B5E20"/>
          <w:sz w:val="30"/>
          <w:szCs w:val="30"/>
        </w:rPr>
        <w:t xml:space="preserve">5. Servicios de dominio relevantes</w:t>
      </w:r>
    </w:p>
    <w:p>
      <w:pPr>
        <w:spacing w:after="160" w:line="276"/>
      </w:pPr>
      <w:r>
        <w:rPr>
          <w:sz w:val="22"/>
          <w:szCs w:val="22"/>
        </w:rPr>
        <w:t xml:space="preserve">Esta sección documenta los servicios cuyo comportamiento no se deduce solo del modelo de datos.</w:t>
      </w:r>
    </w:p>
    <w:p>
      <w:pPr>
        <w:pStyle w:val="Heading2"/>
        <w:spacing w:after="140" w:before="320"/>
      </w:pPr>
      <w:r>
        <w:rPr>
          <w:b/>
          <w:bCs/>
          <w:color w:val="2E7D32"/>
          <w:sz w:val="24"/>
          <w:szCs w:val="24"/>
        </w:rPr>
        <w:t xml:space="preserve">5.1 CanalDirecto</w:t>
      </w:r>
    </w:p>
    <w:p>
      <w:pPr>
        <w:spacing w:after="160" w:line="276"/>
      </w:pPr>
      <w:r>
        <w:rPr>
          <w:sz w:val="22"/>
          <w:szCs w:val="22"/>
        </w:rPr>
        <w:t xml:space="preserve">Normaliza el dato de contacto que registra el CAE (correo, teléfono, WhatsApp o página web) a un esquema de enlace utilizable en la plantilla pública: mailto:, tel: o https:. Rechaza en la validación cualquier esquema potencialmente peligroso (javascript:, data:, file:) y texto libre que no corresponda a un contacto real. El método desde() está escrito para no lanzar una excepción si encuentra un dato antiguo con un formato inesperado, para no romper la página pública por un dato histórico.</w:t>
      </w:r>
    </w:p>
    <w:p>
      <w:pPr>
        <w:pStyle w:val="Heading2"/>
        <w:spacing w:after="140" w:before="320"/>
      </w:pPr>
      <w:r>
        <w:rPr>
          <w:b/>
          <w:bCs/>
          <w:color w:val="2E7D32"/>
          <w:sz w:val="24"/>
          <w:szCs w:val="24"/>
        </w:rPr>
        <w:t xml:space="preserve">5.2 ProcesadorImagen / ImagenService</w:t>
      </w:r>
    </w:p>
    <w:p>
      <w:pPr>
        <w:spacing w:after="160" w:line="276"/>
      </w:pPr>
      <w:r>
        <w:rPr>
          <w:sz w:val="22"/>
          <w:szCs w:val="22"/>
        </w:rPr>
        <w:t xml:space="preserve">Gestiona la subida de imágenes en Contenidos, Rutas y pasos de Ruta:</w:t>
      </w:r>
    </w:p>
    <w:p>
      <w:pPr>
        <w:pStyle w:val="ListParagraph"/>
        <w:numPr>
          <w:ilvl w:val="0"/>
          <w:numId w:val="5"/>
        </w:numPr>
        <w:spacing w:after="80" w:line="276"/>
      </w:pPr>
      <w:r>
        <w:rPr>
          <w:sz w:val="22"/>
          <w:szCs w:val="22"/>
        </w:rPr>
        <w:t xml:space="preserve">El formato (JPG, PNG, GIF, WebP) se valida por el contenido real del archivo, no por la extensión del nombre.</w:t>
      </w:r>
    </w:p>
    <w:p>
      <w:pPr>
        <w:pStyle w:val="ListParagraph"/>
        <w:numPr>
          <w:ilvl w:val="0"/>
          <w:numId w:val="5"/>
        </w:numPr>
        <w:spacing w:after="80" w:line="276"/>
      </w:pPr>
      <w:r>
        <w:rPr>
          <w:sz w:val="22"/>
          <w:szCs w:val="22"/>
        </w:rPr>
        <w:t xml:space="preserve">Límites de 5 MB y 16 megapíxeles, verificados a partir de la cabecera del archivo antes de decodificarlo completo, para no gastar memoria en un archivo que de todas formas va a rechazarse.</w:t>
      </w:r>
    </w:p>
    <w:p>
      <w:pPr>
        <w:pStyle w:val="ListParagraph"/>
        <w:numPr>
          <w:ilvl w:val="0"/>
          <w:numId w:val="5"/>
        </w:numPr>
        <w:spacing w:after="80" w:line="276"/>
      </w:pPr>
      <w:r>
        <w:rPr>
          <w:sz w:val="22"/>
          <w:szCs w:val="22"/>
        </w:rPr>
        <w:t xml:space="preserve">La imagen se reorienta según su metadato EXIF, se reduce a 1600 px en su lado mayor y se vuelve a codificar — lo que de paso elimina todos los metadatos originales, incluida la ubicación GPS.</w:t>
      </w:r>
    </w:p>
    <w:p>
      <w:pPr>
        <w:pStyle w:val="ListParagraph"/>
        <w:numPr>
          <w:ilvl w:val="0"/>
          <w:numId w:val="5"/>
        </w:numPr>
        <w:spacing w:after="80" w:line="276"/>
      </w:pPr>
      <w:r>
        <w:rPr>
          <w:sz w:val="22"/>
          <w:szCs w:val="22"/>
        </w:rPr>
        <w:t xml:space="preserve">Un semáforo (Semaphore(1)) permite procesar una sola imagen a la vez, para acotar el uso de memoria; el límite se definió mientras el servicio estaba en el plan gratuito de Render (512 MB) y no se ha revisado desde el paso al plan Standard el 21/9/2026 (2 GB de RAM), por lo que sigue vigente en el código aunque la restricción original ya no aplica.</w:t>
      </w:r>
    </w:p>
    <w:p>
      <w:pPr>
        <w:pStyle w:val="ListParagraph"/>
        <w:numPr>
          <w:ilvl w:val="0"/>
          <w:numId w:val="5"/>
        </w:numPr>
        <w:spacing w:after="80" w:line="276"/>
      </w:pPr>
      <w:r>
        <w:rPr>
          <w:sz w:val="22"/>
          <w:szCs w:val="22"/>
        </w:rPr>
        <w:t xml:space="preserve">Las imágenes se sirven en /imagenes/{uuid} con caché inmutable de un año; al reemplazar o eliminar el recurso que las usa, las imágenes huérfanas se eliminan.</w:t>
      </w:r>
    </w:p>
    <w:p>
      <w:pPr>
        <w:pStyle w:val="Heading2"/>
        <w:spacing w:after="140" w:before="320"/>
      </w:pPr>
      <w:r>
        <w:rPr>
          <w:b/>
          <w:bCs/>
          <w:color w:val="2E7D32"/>
          <w:sz w:val="24"/>
          <w:szCs w:val="24"/>
        </w:rPr>
        <w:t xml:space="preserve">5.3 PasoRuta / PasoRutaService</w:t>
      </w:r>
    </w:p>
    <w:p>
      <w:pPr>
        <w:spacing w:after="160" w:line="276"/>
      </w:pPr>
      <w:r>
        <w:rPr>
          <w:sz w:val="22"/>
          <w:szCs w:val="22"/>
        </w:rPr>
        <w:t xml:space="preserve">Administra la lista ordenada de pasos de una Ruta institucional (agregar, editar, reordenar, eliminar), cada uno con imagen opcional. Cada cambio queda registrado en la bitácora con el prefijo PASO_RUTA_*.</w:t>
      </w:r>
    </w:p>
    <w:p>
      <w:pPr>
        <w:pStyle w:val="Heading2"/>
        <w:spacing w:after="140" w:before="320"/>
      </w:pPr>
      <w:r>
        <w:rPr>
          <w:b/>
          <w:bCs/>
          <w:color w:val="2E7D32"/>
          <w:sz w:val="24"/>
          <w:szCs w:val="24"/>
        </w:rPr>
        <w:t xml:space="preserve">5.4 CalculadoraNivel y ValidadorVersion (módulo cuestionario)</w:t>
      </w:r>
    </w:p>
    <w:p>
      <w:pPr>
        <w:spacing w:after="160" w:line="276"/>
      </w:pPr>
      <w:r>
        <w:rPr>
          <w:sz w:val="22"/>
          <w:szCs w:val="22"/>
        </w:rPr>
        <w:t xml:space="preserve">CalculadoraNivel suma el puntaje de las opciones elegidas y determina el nivel de resultado cuyo rango [puntaje_min, puntaje_max] lo contiene, siempre sobre la versión PUBLICADA del cuestionario. ValidadorVersion bloquea la publicación de una versión en Borrador si detecta preguntas sin opciones, huecos o solapes entre los rangos de puntaje de los niveles, o un nivel sin recomendación ni ruta asociada — evita publicar un cuestionario que dejaría un puntaje posible sin resultado.</w:t>
      </w:r>
    </w:p>
    <w:p>
      <w:pPr>
        <w:pStyle w:val="Heading2"/>
        <w:spacing w:after="140" w:before="320"/>
      </w:pPr>
      <w:r>
        <w:rPr>
          <w:b/>
          <w:bCs/>
          <w:color w:val="2E7D32"/>
          <w:sz w:val="24"/>
          <w:szCs w:val="24"/>
        </w:rPr>
        <w:t xml:space="preserve">5.5 AnaliticaService</w:t>
      </w:r>
    </w:p>
    <w:p>
      <w:pPr>
        <w:spacing w:after="160" w:line="276"/>
      </w:pPr>
      <w:r>
        <w:rPr>
          <w:sz w:val="22"/>
          <w:szCs w:val="22"/>
        </w:rPr>
        <w:t xml:space="preserve">No registra eventos individuales: los indicadores son contadores enteros en las propias entidades (recurso.vistas, valoraciones, nivel_resultado.veces_obtenido), incrementados con una sentencia UPDATE atómica. El reporte del panel y su exportación a CSV aplican el mismo umbral mínimo de 5 en las tres secciones (contenidos más consultados, autoorientación por nivel, valoraciones): una agrupación por debajo del umbral no aparece en pantalla ni en el CSV porque nunca llega a calcularse, no porque se oculte después.</w:t>
      </w:r>
    </w:p>
    <w:p>
      <w:pPr>
        <w:pStyle w:val="Heading2"/>
        <w:spacing w:after="140" w:before="320"/>
      </w:pPr>
      <w:r>
        <w:rPr>
          <w:b/>
          <w:bCs/>
          <w:color w:val="2E7D32"/>
          <w:sz w:val="24"/>
          <w:szCs w:val="24"/>
        </w:rPr>
        <w:t xml:space="preserve">5.6 PortalErrorAttributes</w:t>
      </w:r>
    </w:p>
    <w:p>
      <w:pPr>
        <w:spacing w:after="160" w:line="276"/>
      </w:pPr>
      <w:r>
        <w:rPr>
          <w:sz w:val="22"/>
          <w:szCs w:val="22"/>
        </w:rPr>
        <w:t xml:space="preserve">Intercepta toda respuesta que pasa por /error. Ninguna respuesta al usuario (HTML o JSON) incluye stack trace, excepción o mensaje interno. Para un error 500 o superior genera un código de referencia corto que se muestra en pantalla, y registra en el log del servidor la excepción completa con su stack trace — nunca los parámetros de la petición, para no dejar contraseñas de /login o /cuenta/contrasena en el log.</w:t>
      </w:r>
    </w:p>
    <w:p>
      <w:pPr>
        <w:pStyle w:val="Heading1"/>
        <w:pageBreakBefore/>
        <w:pBdr>
          <w:bottom w:val="single" w:color="2E7D32" w:sz="6" w:space="4"/>
        </w:pBdr>
        <w:spacing w:after="200" w:before="420"/>
      </w:pPr>
      <w:r>
        <w:rPr>
          <w:b/>
          <w:bCs/>
          <w:color w:val="1B5E20"/>
          <w:sz w:val="30"/>
          <w:szCs w:val="30"/>
        </w:rPr>
        <w:t xml:space="preserve">6. Seguridad</w:t>
      </w:r>
    </w:p>
    <w:p>
      <w:pPr>
        <w:pStyle w:val="Heading2"/>
        <w:spacing w:after="140" w:before="320"/>
      </w:pPr>
      <w:r>
        <w:rPr>
          <w:b/>
          <w:bCs/>
          <w:color w:val="2E7D32"/>
          <w:sz w:val="24"/>
          <w:szCs w:val="24"/>
        </w:rPr>
        <w:t xml:space="preserve">6.1 Autenticación</w:t>
      </w:r>
    </w:p>
    <w:p>
      <w:pPr>
        <w:pStyle w:val="ListParagraph"/>
        <w:numPr>
          <w:ilvl w:val="0"/>
          <w:numId w:val="6"/>
        </w:numPr>
        <w:spacing w:after="80" w:line="276"/>
      </w:pPr>
      <w:r>
        <w:rPr>
          <w:sz w:val="22"/>
          <w:szCs w:val="22"/>
        </w:rPr>
        <w:t xml:space="preserve">Spring Security con formulario propio en /login (campos correo / clave).</w:t>
      </w:r>
    </w:p>
    <w:p>
      <w:pPr>
        <w:pStyle w:val="ListParagraph"/>
        <w:numPr>
          <w:ilvl w:val="0"/>
          <w:numId w:val="6"/>
        </w:numPr>
        <w:spacing w:after="80" w:line="276"/>
      </w:pPr>
      <w:r>
        <w:rPr>
          <w:sz w:val="22"/>
          <w:szCs w:val="22"/>
        </w:rPr>
        <w:t xml:space="preserve">Contraseñas cifradas con BCrypt (BCryptPasswordEncoder) — nunca se guarda ni se transmite en texto plano.</w:t>
      </w:r>
    </w:p>
    <w:p>
      <w:pPr>
        <w:pStyle w:val="ListParagraph"/>
        <w:numPr>
          <w:ilvl w:val="0"/>
          <w:numId w:val="6"/>
        </w:numPr>
        <w:spacing w:after="80" w:line="276"/>
      </w:pPr>
      <w:r>
        <w:rPr>
          <w:sz w:val="22"/>
          <w:szCs w:val="22"/>
        </w:rPr>
        <w:t xml:space="preserve">El primer administrador se crea automáticamente solo si la tabla usuario está vacía al arrancar, con la contraseña tomada de la variable de entorno PORTAL_ADMIN_INICIAL_PASSWORD (nunca escrita en el código ni en un archivo del repositorio).</w:t>
      </w:r>
    </w:p>
    <w:p>
      <w:pPr>
        <w:pStyle w:val="ListParagraph"/>
        <w:numPr>
          <w:ilvl w:val="0"/>
          <w:numId w:val="6"/>
        </w:numPr>
        <w:spacing w:after="80" w:line="276"/>
      </w:pPr>
      <w:r>
        <w:rPr>
          <w:sz w:val="22"/>
          <w:szCs w:val="22"/>
        </w:rPr>
        <w:t xml:space="preserve">Todo usuario nuevo debe cambiar su contraseña inicial en el primer ingreso (debe_cambiar_clave).</w:t>
      </w:r>
    </w:p>
    <w:p>
      <w:pPr>
        <w:pStyle w:val="Heading2"/>
        <w:spacing w:after="140" w:before="320"/>
      </w:pPr>
      <w:r>
        <w:rPr>
          <w:b/>
          <w:bCs/>
          <w:color w:val="2E7D32"/>
          <w:sz w:val="24"/>
          <w:szCs w:val="24"/>
        </w:rPr>
        <w:t xml:space="preserve">6.2 Autorización — separación estricta de roles</w:t>
      </w:r>
    </w:p>
    <w:p>
      <w:pPr>
        <w:spacing w:after="160" w:line="276"/>
      </w:pPr>
      <w:r>
        <w:rPr>
          <w:sz w:val="22"/>
          <w:szCs w:val="22"/>
        </w:rPr>
        <w:t xml:space="preserve">El sistema tiene dos roles administrativos sin superposición de permisos, salvo el tablero general:</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400"/>
        <w:gridCol w:w="6960"/>
      </w:tblGrid>
      <w:tr>
        <w:trPr>
          <w:tblHeader/>
        </w:trPr>
        <w:tc>
          <w:tcPr>
            <w:tcW w:type="dxa" w:w="2400"/>
            <w:shd w:fill="E8F5E9" w:color="auto" w:val="clear"/>
            <w:tcMar>
              <w:top w:type="dxa" w:w="90"/>
              <w:left w:type="dxa" w:w="120"/>
              <w:bottom w:type="dxa" w:w="90"/>
              <w:right w:type="dxa" w:w="120"/>
            </w:tcMar>
          </w:tcPr>
          <w:p>
            <w:r>
              <w:rPr>
                <w:b/>
                <w:bCs/>
                <w:sz w:val="21"/>
                <w:szCs w:val="21"/>
              </w:rPr>
              <w:t xml:space="preserve">Rol</w:t>
            </w:r>
          </w:p>
        </w:tc>
        <w:tc>
          <w:tcPr>
            <w:tcW w:type="dxa" w:w="6960"/>
            <w:shd w:fill="E8F5E9" w:color="auto" w:val="clear"/>
            <w:tcMar>
              <w:top w:type="dxa" w:w="90"/>
              <w:left w:type="dxa" w:w="120"/>
              <w:bottom w:type="dxa" w:w="90"/>
              <w:right w:type="dxa" w:w="120"/>
            </w:tcMar>
          </w:tcPr>
          <w:p>
            <w:r>
              <w:rPr>
                <w:b/>
                <w:bCs/>
                <w:sz w:val="21"/>
                <w:szCs w:val="21"/>
              </w:rPr>
              <w:t xml:space="preserve">Rutas exclusivas</w:t>
            </w:r>
          </w:p>
        </w:tc>
      </w:tr>
      <w:tr>
        <w:tc>
          <w:tcPr>
            <w:tcW w:type="dxa" w:w="2400"/>
            <w:tcMar>
              <w:top w:type="dxa" w:w="90"/>
              <w:left w:type="dxa" w:w="120"/>
              <w:bottom w:type="dxa" w:w="90"/>
              <w:right w:type="dxa" w:w="120"/>
            </w:tcMar>
          </w:tcPr>
          <w:p>
            <w:pPr>
              <w:spacing w:after="40"/>
            </w:pPr>
            <w:r>
              <w:rPr>
                <w:sz w:val="21"/>
                <w:szCs w:val="21"/>
              </w:rPr>
              <w:t xml:space="preserve">ADMIN_FUNCIONAL</w:t>
            </w:r>
          </w:p>
        </w:tc>
        <w:tc>
          <w:tcPr>
            <w:tcW w:type="dxa" w:w="6960"/>
            <w:tcMar>
              <w:top w:type="dxa" w:w="90"/>
              <w:left w:type="dxa" w:w="120"/>
              <w:bottom w:type="dxa" w:w="90"/>
              <w:right w:type="dxa" w:w="120"/>
            </w:tcMar>
          </w:tcPr>
          <w:p>
            <w:pPr>
              <w:spacing w:after="40"/>
            </w:pPr>
            <w:r>
              <w:rPr>
                <w:sz w:val="21"/>
                <w:szCs w:val="21"/>
              </w:rPr>
              <w:t xml:space="preserve">/admin/recursos/**, /admin/categorias/**, /admin/cuestionarios/**, /admin/parametros/**, /admin/analitica/**</w:t>
            </w:r>
          </w:p>
        </w:tc>
      </w:tr>
      <w:tr>
        <w:tc>
          <w:tcPr>
            <w:tcW w:type="dxa" w:w="2400"/>
            <w:tcMar>
              <w:top w:type="dxa" w:w="90"/>
              <w:left w:type="dxa" w:w="120"/>
              <w:bottom w:type="dxa" w:w="90"/>
              <w:right w:type="dxa" w:w="120"/>
            </w:tcMar>
          </w:tcPr>
          <w:p>
            <w:pPr>
              <w:spacing w:after="40"/>
            </w:pPr>
            <w:r>
              <w:rPr>
                <w:sz w:val="21"/>
                <w:szCs w:val="21"/>
              </w:rPr>
              <w:t xml:space="preserve">ADMIN_TECNICO</w:t>
            </w:r>
          </w:p>
        </w:tc>
        <w:tc>
          <w:tcPr>
            <w:tcW w:type="dxa" w:w="6960"/>
            <w:tcMar>
              <w:top w:type="dxa" w:w="90"/>
              <w:left w:type="dxa" w:w="120"/>
              <w:bottom w:type="dxa" w:w="90"/>
              <w:right w:type="dxa" w:w="120"/>
            </w:tcMar>
          </w:tcPr>
          <w:p>
            <w:pPr>
              <w:spacing w:after="40"/>
            </w:pPr>
            <w:r>
              <w:rPr>
                <w:sz w:val="21"/>
                <w:szCs w:val="21"/>
              </w:rPr>
              <w:t xml:space="preserve">/admin/usuarios/**, /admin/bitacora/**, /admin/sistema/**</w:t>
            </w:r>
          </w:p>
        </w:tc>
      </w:tr>
    </w:tbl>
    <w:p>
      <w:pPr>
        <w:spacing w:after="160" w:line="276"/>
      </w:pPr>
      <w:r>
        <w:rPr>
          <w:sz w:val="22"/>
          <w:szCs w:val="22"/>
        </w:rPr>
        <w:t xml:space="preserve">La autorización se aplica en dos capas independientes: por URL (authorizeHttpRequests en SecurityConfig) y por método (@EnableMethodSecurity + @PreAuthorize en los @Service) — para que una regla de negocio quede protegida aunque, por error, se invoque desde una ruta que no debería tener acceso a ella.</w:t>
      </w:r>
    </w:p>
    <w:p>
      <w:pPr>
        <w:pStyle w:val="Heading2"/>
        <w:spacing w:after="140" w:before="320"/>
      </w:pPr>
      <w:r>
        <w:rPr>
          <w:b/>
          <w:bCs/>
          <w:color w:val="2E7D32"/>
          <w:sz w:val="24"/>
          <w:szCs w:val="24"/>
        </w:rPr>
        <w:t xml:space="preserve">6.3 Otras decisiones de seguridad</w:t>
      </w:r>
    </w:p>
    <w:p>
      <w:pPr>
        <w:pStyle w:val="ListParagraph"/>
        <w:numPr>
          <w:ilvl w:val="0"/>
          <w:numId w:val="7"/>
        </w:numPr>
        <w:spacing w:after="80" w:line="276"/>
      </w:pPr>
      <w:r>
        <w:rPr>
          <w:sz w:val="22"/>
          <w:szCs w:val="22"/>
        </w:rPr>
        <w:t xml:space="preserve">CSRF permanece activo en todo el panel (Thymeleaf inyecta el token en cada formulario).</w:t>
      </w:r>
    </w:p>
    <w:p>
      <w:pPr>
        <w:pStyle w:val="ListParagraph"/>
        <w:numPr>
          <w:ilvl w:val="0"/>
          <w:numId w:val="7"/>
        </w:numPr>
        <w:spacing w:after="80" w:line="276"/>
      </w:pPr>
      <w:r>
        <w:rPr>
          <w:sz w:val="22"/>
          <w:szCs w:val="22"/>
        </w:rPr>
        <w:t xml:space="preserve">Protección de fijación de sesión (sessionFixation.changeSessionId) y limpieza completa de la sesión y su cookie al cerrar sesión.</w:t>
      </w:r>
    </w:p>
    <w:p>
      <w:pPr>
        <w:pStyle w:val="ListParagraph"/>
        <w:numPr>
          <w:ilvl w:val="0"/>
          <w:numId w:val="7"/>
        </w:numPr>
        <w:spacing w:after="80" w:line="276"/>
      </w:pPr>
      <w:r>
        <w:rPr>
          <w:sz w:val="22"/>
          <w:szCs w:val="22"/>
        </w:rPr>
        <w:t xml:space="preserve">Página de error 403 propia para acceso denegado, sin exponer detalles del intento.</w:t>
      </w:r>
    </w:p>
    <w:p>
      <w:pPr>
        <w:pStyle w:val="ListParagraph"/>
        <w:numPr>
          <w:ilvl w:val="0"/>
          <w:numId w:val="7"/>
        </w:numPr>
        <w:spacing w:after="80" w:line="276"/>
      </w:pPr>
      <w:r>
        <w:rPr>
          <w:sz w:val="22"/>
          <w:szCs w:val="22"/>
        </w:rPr>
        <w:t xml:space="preserve">En HU-21, reglas anti-bloqueo: nadie puede desactivarse ni quitarse el rol ADMIN_TECNICO a sí mismo, y siempre debe quedar al menos un ADMIN_TECNICO activo.</w:t>
      </w:r>
    </w:p>
    <w:p>
      <w:pPr>
        <w:pStyle w:val="ListParagraph"/>
        <w:numPr>
          <w:ilvl w:val="0"/>
          <w:numId w:val="7"/>
        </w:numPr>
        <w:spacing w:after="80" w:line="276"/>
      </w:pPr>
      <w:r>
        <w:rPr>
          <w:sz w:val="22"/>
          <w:szCs w:val="22"/>
        </w:rPr>
        <w:t xml:space="preserve">Toda credencial y cadena de conexión se gestiona por variable de entorno; ninguna llega al repositorio de código (ver la Guía de despliegue).</w:t>
      </w:r>
    </w:p>
    <w:p>
      <w:pPr>
        <w:pStyle w:val="Heading2"/>
        <w:spacing w:after="140" w:before="320"/>
      </w:pPr>
      <w:r>
        <w:rPr>
          <w:b/>
          <w:bCs/>
          <w:color w:val="2E7D32"/>
          <w:sz w:val="24"/>
          <w:szCs w:val="24"/>
        </w:rPr>
        <w:t xml:space="preserve">6.4 Controles agregados el 28 y 29 de septiembre de 2026</w:t>
      </w:r>
    </w:p>
    <w:p>
      <w:pPr>
        <w:spacing w:after="160" w:line="276"/>
      </w:pPr>
      <w:r>
        <w:rPr>
          <w:sz w:val="22"/>
          <w:szCs w:val="22"/>
        </w:rPr>
        <w:t xml:space="preserve">Cuatro controles de seguridad y una ronda de correcciones de accesibilidad se agregaron en los últimos días del proyecto, después de la primera versión de este manual (24/9/2026). Verificados en código y en vivo contra el portal desplegado el 28-29/9/2026:</w:t>
      </w:r>
    </w:p>
    <w:p>
      <w:pPr>
        <w:pStyle w:val="ListParagraph"/>
        <w:numPr>
          <w:ilvl w:val="0"/>
          <w:numId w:val="7"/>
        </w:numPr>
        <w:spacing w:after="80" w:line="276"/>
      </w:pPr>
      <w:r>
        <w:rPr>
          <w:b/>
          <w:sz w:val="22"/>
          <w:szCs w:val="22"/>
        </w:rPr>
        <w:t xml:space="preserve">CORS explícito (RS-10.1): </w:t>
      </w:r>
      <w:r>
        <w:rPr>
          <w:sz w:val="22"/>
          <w:szCs w:val="22"/>
        </w:rPr>
        <w:t xml:space="preserve">bean corsConfigurationSource() en SecurityConfig, sin ningún origen externo autorizado — deny explícito por defecto.</w:t>
      </w:r>
    </w:p>
    <w:p>
      <w:pPr>
        <w:pStyle w:val="ListParagraph"/>
        <w:numPr>
          <w:ilvl w:val="0"/>
          <w:numId w:val="7"/>
        </w:numPr>
        <w:spacing w:after="80" w:line="276"/>
      </w:pPr>
      <w:r>
        <w:rPr>
          <w:b/>
          <w:sz w:val="22"/>
          <w:szCs w:val="22"/>
        </w:rPr>
        <w:t xml:space="preserve">Cabecera Content-Security-Policy (RS-10.3): </w:t>
      </w:r>
      <w:r>
        <w:rPr>
          <w:sz w:val="22"/>
          <w:szCs w:val="22"/>
        </w:rPr>
        <w:t xml:space="preserve">política acorde a los recursos reales del proyecto; único dominio externo permitido, cdn.jsdelivr.net. 'unsafe-inline' queda documentado como limitación conocida, por los estilos y atributos en línea existentes.</w:t>
      </w:r>
    </w:p>
    <w:p>
      <w:pPr>
        <w:pStyle w:val="ListParagraph"/>
        <w:numPr>
          <w:ilvl w:val="0"/>
          <w:numId w:val="7"/>
        </w:numPr>
        <w:spacing w:after="80" w:line="276"/>
      </w:pPr>
      <w:r>
        <w:rPr>
          <w:b/>
          <w:sz w:val="22"/>
          <w:szCs w:val="22"/>
        </w:rPr>
        <w:t xml:space="preserve">Límite de intentos de inicio de sesión (RS-10.4): </w:t>
      </w:r>
      <w:r>
        <w:rPr>
          <w:sz w:val="22"/>
          <w:szCs w:val="22"/>
        </w:rPr>
        <w:t xml:space="preserve">LimitadorIntentosLogin + LimitadorIntentosLoginFilter — 5 intentos fallidos bloquean la cuenta 15 minutos; el contador (en memoria, por instancia) se limpia al iniciar sesión correctamente.</w:t>
      </w:r>
    </w:p>
    <w:p>
      <w:pPr>
        <w:pStyle w:val="ListParagraph"/>
        <w:numPr>
          <w:ilvl w:val="0"/>
          <w:numId w:val="7"/>
        </w:numPr>
        <w:spacing w:after="80" w:line="276"/>
      </w:pPr>
      <w:r>
        <w:rPr>
          <w:b/>
          <w:sz w:val="22"/>
          <w:szCs w:val="22"/>
        </w:rPr>
        <w:t xml:space="preserve">Expiración de sesión por inactividad (RS-03.3): </w:t>
      </w:r>
      <w:r>
        <w:rPr>
          <w:sz w:val="22"/>
          <w:szCs w:val="22"/>
        </w:rPr>
        <w:t xml:space="preserve">server.servlet.session.timeout: 30m, en application.yml.</w:t>
      </w:r>
    </w:p>
    <w:p>
      <w:pPr>
        <w:spacing w:after="160" w:line="276"/>
      </w:pPr>
      <w:r>
        <w:rPr>
          <w:sz w:val="22"/>
          <w:szCs w:val="22"/>
        </w:rPr>
        <w:t xml:space="preserve">Las 176 pruebas automatizadas se ajustaron y siguen pasando en su totalidad tras estos cambios (11 pruebas @WebMvcTest necesitaron mockear el nuevo bean LimitadorIntentosLogin).</w:t>
      </w:r>
    </w:p>
    <w:p>
      <w:pPr>
        <w:spacing w:after="160" w:line="276"/>
      </w:pPr>
      <w:r>
        <w:rPr>
          <w:sz w:val="22"/>
          <w:szCs w:val="22"/>
        </w:rPr>
        <w:t xml:space="preserve">Además, el 29/9/2026 se corrigieron 10 hallazgos de accesibilidad detectados con la herramienta Lighthouse (nombres accesibles en botones y campos de selección, orden de encabezados, contraste y tamaño de objetivos táctiles), verificados también con la suite completa de pruebas automatizadas. El detalle completo, antes y después, página por página, está en el Apéndice D del documento F-DC-125 ("Lista de verificación de accesibilidad").</w:t>
      </w:r>
    </w:p>
    <w:p>
      <w:pPr>
        <w:pStyle w:val="Heading1"/>
        <w:pageBreakBefore/>
        <w:pBdr>
          <w:bottom w:val="single" w:color="2E7D32" w:sz="6" w:space="4"/>
        </w:pBdr>
        <w:spacing w:after="200" w:before="420"/>
      </w:pPr>
      <w:r>
        <w:rPr>
          <w:b/>
          <w:bCs/>
          <w:color w:val="1B5E20"/>
          <w:sz w:val="30"/>
          <w:szCs w:val="30"/>
        </w:rPr>
        <w:t xml:space="preserve">7. Pruebas automatizadas</w:t>
      </w:r>
    </w:p>
    <w:p>
      <w:pPr>
        <w:spacing w:after="160" w:line="276"/>
      </w:pPr>
      <w:r>
        <w:rPr>
          <w:sz w:val="22"/>
          <w:szCs w:val="22"/>
        </w:rPr>
        <w:t xml:space="preserve">El proyecto tiene 176 pruebas automatizadas, ninguna de las cuales requiere una base de datos real: usan @WebMvcTest y mocks de los servicios, o prueban directamente clases de dominio sin contexto de Spring. Esto permite ejecutarlas en cualquier entorno, incluido un pipeline de integración continua, sin levantar PostgreSQL.</w:t>
      </w:r>
    </w:p>
    <w:p>
      <w:pPr>
        <w:shd w:fill="F2F2F2" w:color="auto" w:val="clear"/>
        <w:spacing w:after="160" w:line="264"/>
      </w:pPr>
      <w:r>
        <w:rPr>
          <w:rFonts w:ascii="Consolas" w:cs="Consolas" w:eastAsia="Consolas" w:hAnsi="Consolas"/>
          <w:sz w:val="20"/>
          <w:szCs w:val="20"/>
        </w:rPr>
        <w:t xml:space="preserve">./mvnw test</w:t>
      </w:r>
    </w:p>
    <w:p>
      <w:pPr>
        <w:pStyle w:val="Heading2"/>
        <w:spacing w:after="140" w:before="320"/>
      </w:pPr>
      <w:r>
        <w:rPr>
          <w:b/>
          <w:bCs/>
          <w:color w:val="2E7D32"/>
          <w:sz w:val="24"/>
          <w:szCs w:val="24"/>
        </w:rPr>
        <w:t xml:space="preserve">7.1 Cobertura por módulo (resumen)</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200"/>
        <w:gridCol w:w="7160"/>
      </w:tblGrid>
      <w:tr>
        <w:trPr>
          <w:tblHeader/>
        </w:trPr>
        <w:tc>
          <w:tcPr>
            <w:tcW w:type="dxa" w:w="2200"/>
            <w:shd w:fill="E8F5E9" w:color="auto" w:val="clear"/>
            <w:tcMar>
              <w:top w:type="dxa" w:w="90"/>
              <w:left w:type="dxa" w:w="120"/>
              <w:bottom w:type="dxa" w:w="90"/>
              <w:right w:type="dxa" w:w="120"/>
            </w:tcMar>
          </w:tcPr>
          <w:p>
            <w:r>
              <w:rPr>
                <w:b/>
                <w:bCs/>
                <w:sz w:val="21"/>
                <w:szCs w:val="21"/>
              </w:rPr>
              <w:t xml:space="preserve">Módulo</w:t>
            </w:r>
          </w:p>
        </w:tc>
        <w:tc>
          <w:tcPr>
            <w:tcW w:type="dxa" w:w="7160"/>
            <w:shd w:fill="E8F5E9" w:color="auto" w:val="clear"/>
            <w:tcMar>
              <w:top w:type="dxa" w:w="90"/>
              <w:left w:type="dxa" w:w="120"/>
              <w:bottom w:type="dxa" w:w="90"/>
              <w:right w:type="dxa" w:w="120"/>
            </w:tcMar>
          </w:tcPr>
          <w:p>
            <w:r>
              <w:rPr>
                <w:b/>
                <w:bCs/>
                <w:sz w:val="21"/>
                <w:szCs w:val="21"/>
              </w:rPr>
              <w:t xml:space="preserve">Pruebas principales</w:t>
            </w:r>
          </w:p>
        </w:tc>
      </w:tr>
      <w:tr>
        <w:tc>
          <w:tcPr>
            <w:tcW w:type="dxa" w:w="2200"/>
            <w:tcMar>
              <w:top w:type="dxa" w:w="90"/>
              <w:left w:type="dxa" w:w="120"/>
              <w:bottom w:type="dxa" w:w="90"/>
              <w:right w:type="dxa" w:w="120"/>
            </w:tcMar>
          </w:tcPr>
          <w:p>
            <w:pPr>
              <w:spacing w:after="40"/>
            </w:pPr>
            <w:r>
              <w:rPr>
                <w:sz w:val="21"/>
                <w:szCs w:val="21"/>
              </w:rPr>
              <w:t xml:space="preserve">identidad / seguridad</w:t>
            </w:r>
          </w:p>
        </w:tc>
        <w:tc>
          <w:tcPr>
            <w:tcW w:type="dxa" w:w="7160"/>
            <w:tcMar>
              <w:top w:type="dxa" w:w="90"/>
              <w:left w:type="dxa" w:w="120"/>
              <w:bottom w:type="dxa" w:w="90"/>
              <w:right w:type="dxa" w:w="120"/>
            </w:tcMar>
          </w:tcPr>
          <w:p>
            <w:pPr>
              <w:spacing w:after="40"/>
            </w:pPr>
            <w:r>
              <w:rPr>
                <w:sz w:val="21"/>
                <w:szCs w:val="21"/>
              </w:rPr>
              <w:t xml:space="preserve">SeguridadWebTest (control de acceso por URL), CuentaServiceTest, UsuarioServiceTest, UsuarioAdminControllerTest.</w:t>
            </w:r>
          </w:p>
        </w:tc>
      </w:tr>
      <w:tr>
        <w:tc>
          <w:tcPr>
            <w:tcW w:type="dxa" w:w="2200"/>
            <w:tcMar>
              <w:top w:type="dxa" w:w="90"/>
              <w:left w:type="dxa" w:w="120"/>
              <w:bottom w:type="dxa" w:w="90"/>
              <w:right w:type="dxa" w:w="120"/>
            </w:tcMar>
          </w:tcPr>
          <w:p>
            <w:pPr>
              <w:spacing w:after="40"/>
            </w:pPr>
            <w:r>
              <w:rPr>
                <w:sz w:val="21"/>
                <w:szCs w:val="21"/>
              </w:rPr>
              <w:t xml:space="preserve">contenido</w:t>
            </w:r>
          </w:p>
        </w:tc>
        <w:tc>
          <w:tcPr>
            <w:tcW w:type="dxa" w:w="7160"/>
            <w:tcMar>
              <w:top w:type="dxa" w:w="90"/>
              <w:left w:type="dxa" w:w="120"/>
              <w:bottom w:type="dxa" w:w="90"/>
              <w:right w:type="dxa" w:w="120"/>
            </w:tcMar>
          </w:tcPr>
          <w:p>
            <w:pPr>
              <w:spacing w:after="40"/>
            </w:pPr>
            <w:r>
              <w:rPr>
                <w:sz w:val="21"/>
                <w:szCs w:val="21"/>
              </w:rPr>
              <w:t xml:space="preserve">RecursoAdminControllerTest, RecursoFormValidacionTest, RecursoServiceTest, CategoriaServiceTest, CanalDirectoTest, ProcesadorImagenTest, PasoRutaServiceTest, ImagenYPasosWebTest, ValoracionServiceTest, ValoracionPublicaControllerTest, PortalPublicoServiceTest, PortalPublicoControllerTest.</w:t>
            </w:r>
          </w:p>
        </w:tc>
      </w:tr>
      <w:tr>
        <w:tc>
          <w:tcPr>
            <w:tcW w:type="dxa" w:w="2200"/>
            <w:tcMar>
              <w:top w:type="dxa" w:w="90"/>
              <w:left w:type="dxa" w:w="120"/>
              <w:bottom w:type="dxa" w:w="90"/>
              <w:right w:type="dxa" w:w="120"/>
            </w:tcMar>
          </w:tcPr>
          <w:p>
            <w:pPr>
              <w:spacing w:after="40"/>
            </w:pPr>
            <w:r>
              <w:rPr>
                <w:sz w:val="21"/>
                <w:szCs w:val="21"/>
              </w:rPr>
              <w:t xml:space="preserve">cuestionario</w:t>
            </w:r>
          </w:p>
        </w:tc>
        <w:tc>
          <w:tcPr>
            <w:tcW w:type="dxa" w:w="7160"/>
            <w:tcMar>
              <w:top w:type="dxa" w:w="90"/>
              <w:left w:type="dxa" w:w="120"/>
              <w:bottom w:type="dxa" w:w="90"/>
              <w:right w:type="dxa" w:w="120"/>
            </w:tcMar>
          </w:tcPr>
          <w:p>
            <w:pPr>
              <w:spacing w:after="40"/>
            </w:pPr>
            <w:r>
              <w:rPr>
                <w:sz w:val="21"/>
                <w:szCs w:val="21"/>
              </w:rPr>
              <w:t xml:space="preserve">CuestionarioAdminControllerTest, ValidadorVersionTest, CuestionarioServiceTest, CalculadoraNivelTest.</w:t>
            </w:r>
          </w:p>
        </w:tc>
      </w:tr>
      <w:tr>
        <w:tc>
          <w:tcPr>
            <w:tcW w:type="dxa" w:w="2200"/>
            <w:tcMar>
              <w:top w:type="dxa" w:w="90"/>
              <w:left w:type="dxa" w:w="120"/>
              <w:bottom w:type="dxa" w:w="90"/>
              <w:right w:type="dxa" w:w="120"/>
            </w:tcMar>
          </w:tcPr>
          <w:p>
            <w:pPr>
              <w:spacing w:after="40"/>
            </w:pPr>
            <w:r>
              <w:rPr>
                <w:sz w:val="21"/>
                <w:szCs w:val="21"/>
              </w:rPr>
              <w:t xml:space="preserve">autoorientacion</w:t>
            </w:r>
          </w:p>
        </w:tc>
        <w:tc>
          <w:tcPr>
            <w:tcW w:type="dxa" w:w="7160"/>
            <w:tcMar>
              <w:top w:type="dxa" w:w="90"/>
              <w:left w:type="dxa" w:w="120"/>
              <w:bottom w:type="dxa" w:w="90"/>
              <w:right w:type="dxa" w:w="120"/>
            </w:tcMar>
          </w:tcPr>
          <w:p>
            <w:pPr>
              <w:spacing w:after="40"/>
            </w:pPr>
            <w:r>
              <w:rPr>
                <w:sz w:val="21"/>
                <w:szCs w:val="21"/>
              </w:rPr>
              <w:t xml:space="preserve">AutoorientacionServiceTest, AutoorientacionControllerTest.</w:t>
            </w:r>
          </w:p>
        </w:tc>
      </w:tr>
      <w:tr>
        <w:tc>
          <w:tcPr>
            <w:tcW w:type="dxa" w:w="2200"/>
            <w:tcMar>
              <w:top w:type="dxa" w:w="90"/>
              <w:left w:type="dxa" w:w="120"/>
              <w:bottom w:type="dxa" w:w="90"/>
              <w:right w:type="dxa" w:w="120"/>
            </w:tcMar>
          </w:tcPr>
          <w:p>
            <w:pPr>
              <w:spacing w:after="40"/>
            </w:pPr>
            <w:r>
              <w:rPr>
                <w:sz w:val="21"/>
                <w:szCs w:val="21"/>
              </w:rPr>
              <w:t xml:space="preserve">bitacora</w:t>
            </w:r>
          </w:p>
        </w:tc>
        <w:tc>
          <w:tcPr>
            <w:tcW w:type="dxa" w:w="7160"/>
            <w:tcMar>
              <w:top w:type="dxa" w:w="90"/>
              <w:left w:type="dxa" w:w="120"/>
              <w:bottom w:type="dxa" w:w="90"/>
              <w:right w:type="dxa" w:w="120"/>
            </w:tcMar>
          </w:tcPr>
          <w:p>
            <w:pPr>
              <w:spacing w:after="40"/>
            </w:pPr>
            <w:r>
              <w:rPr>
                <w:sz w:val="21"/>
                <w:szCs w:val="21"/>
              </w:rPr>
              <w:t xml:space="preserve">BitacoraServiceTest, BitacoraAdminControllerTest.</w:t>
            </w:r>
          </w:p>
        </w:tc>
      </w:tr>
      <w:tr>
        <w:tc>
          <w:tcPr>
            <w:tcW w:type="dxa" w:w="2200"/>
            <w:tcMar>
              <w:top w:type="dxa" w:w="90"/>
              <w:left w:type="dxa" w:w="120"/>
              <w:bottom w:type="dxa" w:w="90"/>
              <w:right w:type="dxa" w:w="120"/>
            </w:tcMar>
          </w:tcPr>
          <w:p>
            <w:pPr>
              <w:spacing w:after="40"/>
            </w:pPr>
            <w:r>
              <w:rPr>
                <w:sz w:val="21"/>
                <w:szCs w:val="21"/>
              </w:rPr>
              <w:t xml:space="preserve">analitica</w:t>
            </w:r>
          </w:p>
        </w:tc>
        <w:tc>
          <w:tcPr>
            <w:tcW w:type="dxa" w:w="7160"/>
            <w:tcMar>
              <w:top w:type="dxa" w:w="90"/>
              <w:left w:type="dxa" w:w="120"/>
              <w:bottom w:type="dxa" w:w="90"/>
              <w:right w:type="dxa" w:w="120"/>
            </w:tcMar>
          </w:tcPr>
          <w:p>
            <w:pPr>
              <w:spacing w:after="40"/>
            </w:pPr>
            <w:r>
              <w:rPr>
                <w:sz w:val="21"/>
                <w:szCs w:val="21"/>
              </w:rPr>
              <w:t xml:space="preserve">AnaliticaServiceTest, AnaliticaAdminControllerTest.</w:t>
            </w:r>
          </w:p>
        </w:tc>
      </w:tr>
      <w:tr>
        <w:tc>
          <w:tcPr>
            <w:tcW w:type="dxa" w:w="2200"/>
            <w:tcMar>
              <w:top w:type="dxa" w:w="90"/>
              <w:left w:type="dxa" w:w="120"/>
              <w:bottom w:type="dxa" w:w="90"/>
              <w:right w:type="dxa" w:w="120"/>
            </w:tcMar>
          </w:tcPr>
          <w:p>
            <w:pPr>
              <w:spacing w:after="40"/>
            </w:pPr>
            <w:r>
              <w:rPr>
                <w:sz w:val="21"/>
                <w:szCs w:val="21"/>
              </w:rPr>
              <w:t xml:space="preserve">parametros</w:t>
            </w:r>
          </w:p>
        </w:tc>
        <w:tc>
          <w:tcPr>
            <w:tcW w:type="dxa" w:w="7160"/>
            <w:tcMar>
              <w:top w:type="dxa" w:w="90"/>
              <w:left w:type="dxa" w:w="120"/>
              <w:bottom w:type="dxa" w:w="90"/>
              <w:right w:type="dxa" w:w="120"/>
            </w:tcMar>
          </w:tcPr>
          <w:p>
            <w:pPr>
              <w:spacing w:after="40"/>
            </w:pPr>
            <w:r>
              <w:rPr>
                <w:sz w:val="21"/>
                <w:szCs w:val="21"/>
              </w:rPr>
              <w:t xml:space="preserve">ParametroServiceTest, ParametroAdminControllerTest.</w:t>
            </w:r>
          </w:p>
        </w:tc>
      </w:tr>
      <w:tr>
        <w:tc>
          <w:tcPr>
            <w:tcW w:type="dxa" w:w="2200"/>
            <w:tcMar>
              <w:top w:type="dxa" w:w="90"/>
              <w:left w:type="dxa" w:w="120"/>
              <w:bottom w:type="dxa" w:w="90"/>
              <w:right w:type="dxa" w:w="120"/>
            </w:tcMar>
          </w:tcPr>
          <w:p>
            <w:pPr>
              <w:spacing w:after="40"/>
            </w:pPr>
            <w:r>
              <w:rPr>
                <w:sz w:val="21"/>
                <w:szCs w:val="21"/>
              </w:rPr>
              <w:t xml:space="preserve">common / config</w:t>
            </w:r>
          </w:p>
        </w:tc>
        <w:tc>
          <w:tcPr>
            <w:tcW w:type="dxa" w:w="7160"/>
            <w:tcMar>
              <w:top w:type="dxa" w:w="90"/>
              <w:left w:type="dxa" w:w="120"/>
              <w:bottom w:type="dxa" w:w="90"/>
              <w:right w:type="dxa" w:w="120"/>
            </w:tcMar>
          </w:tcPr>
          <w:p>
            <w:pPr>
              <w:spacing w:after="40"/>
            </w:pPr>
            <w:r>
              <w:rPr>
                <w:sz w:val="21"/>
                <w:szCs w:val="21"/>
              </w:rPr>
              <w:t xml:space="preserve">PortalErrorAttributesTest, SlugsTest, DatabaseUrlEnvironmentPostProcessorTest.</w:t>
            </w:r>
          </w:p>
        </w:tc>
      </w:tr>
    </w:tbl>
    <w:p>
      <w:pPr>
        <w:pStyle w:val="Heading1"/>
        <w:pageBreakBefore/>
        <w:pBdr>
          <w:bottom w:val="single" w:color="2E7D32" w:sz="6" w:space="4"/>
        </w:pBdr>
        <w:spacing w:after="200" w:before="420"/>
      </w:pPr>
      <w:r>
        <w:rPr>
          <w:b/>
          <w:bCs/>
          <w:color w:val="1B5E20"/>
          <w:sz w:val="30"/>
          <w:szCs w:val="30"/>
        </w:rPr>
        <w:t xml:space="preserve">8. Decisiones de diseño notables</w:t>
      </w:r>
    </w:p>
    <w:p>
      <w:pPr>
        <w:pStyle w:val="Heading2"/>
        <w:spacing w:after="140" w:before="320"/>
      </w:pPr>
      <w:r>
        <w:rPr>
          <w:b/>
          <w:bCs/>
          <w:color w:val="2E7D32"/>
          <w:sz w:val="24"/>
          <w:szCs w:val="24"/>
        </w:rPr>
        <w:t xml:space="preserve">8.1 Un solo modelo Recurso para Contenidos, Rutas y Contactos</w:t>
      </w:r>
    </w:p>
    <w:p>
      <w:pPr>
        <w:spacing w:after="160" w:line="276"/>
      </w:pPr>
      <w:r>
        <w:rPr>
          <w:sz w:val="22"/>
          <w:szCs w:val="22"/>
        </w:rPr>
        <w:t xml:space="preserve">En vez de tres tablas y tres controladores casi idénticos, Contenidos, Rutas y Contactos comparten una única entidad Recurso, diferenciada por la columna tipo. Esto evita triplicar el CRUD, las plantillas y las pruebas; el costo es que la tabla recurso tiene columnas que solo aplican a un subconjunto de tipos (por ejemplo, dependencia y horario solo tienen sentido para RUTA y CONTACTO).</w:t>
      </w:r>
    </w:p>
    <w:p>
      <w:pPr>
        <w:pStyle w:val="Heading2"/>
        <w:spacing w:after="140" w:before="320"/>
      </w:pPr>
      <w:r>
        <w:rPr>
          <w:b/>
          <w:bCs/>
          <w:color w:val="2E7D32"/>
          <w:sz w:val="24"/>
          <w:szCs w:val="24"/>
        </w:rPr>
        <w:t xml:space="preserve">8.2 Versionado inmutable de cuestionarios</w:t>
      </w:r>
    </w:p>
    <w:p>
      <w:pPr>
        <w:spacing w:after="160" w:line="276"/>
      </w:pPr>
      <w:r>
        <w:rPr>
          <w:sz w:val="22"/>
          <w:szCs w:val="22"/>
        </w:rPr>
        <w:t xml:space="preserve">Una versión de cuestionario, una vez publicada, no se puede editar: cualquier cambio crea una versión nueva (copia profunda en Borrador). Esto garantiza que un estudiante que ya vio un resultado con una versión determinada no encuentre después una explicación distinta bajo el mismo cuestionario, y deja trazabilidad de qué versión estuvo vigente en cada momento.</w:t>
      </w:r>
    </w:p>
    <w:p>
      <w:pPr>
        <w:pStyle w:val="Heading2"/>
        <w:spacing w:after="140" w:before="320"/>
      </w:pPr>
      <w:r>
        <w:rPr>
          <w:b/>
          <w:bCs/>
          <w:color w:val="2E7D32"/>
          <w:sz w:val="24"/>
          <w:szCs w:val="24"/>
        </w:rPr>
        <w:t xml:space="preserve">8.3 Autoorientación sin persistencia</w:t>
      </w:r>
    </w:p>
    <w:p>
      <w:pPr>
        <w:spacing w:after="160" w:line="276"/>
      </w:pPr>
      <w:r>
        <w:rPr>
          <w:sz w:val="22"/>
          <w:szCs w:val="22"/>
        </w:rPr>
        <w:t xml:space="preserve">El flujo de autoorientación es deliberadamente anónimo: las respuestas viajan en el cuerpo del POST, se usan para calcular el nivel en memoria, y se descartan — no hay HttpSession propia, ni tabla de respuestas, ni registro en bitácora de este flujo. La única huella que queda es un contador agregado (nivel_resultado.veces_obtenido), sin relación a una persona.</w:t>
      </w:r>
    </w:p>
    <w:p>
      <w:pPr>
        <w:pStyle w:val="Heading2"/>
        <w:spacing w:after="140" w:before="320"/>
      </w:pPr>
      <w:r>
        <w:rPr>
          <w:b/>
          <w:bCs/>
          <w:color w:val="2E7D32"/>
          <w:sz w:val="24"/>
          <w:szCs w:val="24"/>
        </w:rPr>
        <w:t xml:space="preserve">8.4 Specification en vez de @Query con comparaciones a NULL</w:t>
      </w:r>
    </w:p>
    <w:p>
      <w:pPr>
        <w:spacing w:after="160" w:line="276"/>
      </w:pPr>
      <w:r>
        <w:rPr>
          <w:sz w:val="22"/>
          <w:szCs w:val="22"/>
        </w:rPr>
        <w:t xml:space="preserve">El filtro combinado de la bitácora (tipo de objeto + rango de fecha, cualquiera de los dos opcional) usa Specification / JpaSpecificationExecutor en vez de una única consulta JPQL con condiciones is null. La razón es un error real encontrado durante el desarrollo: un parámetro Instant nulo comparado solo contra IS NULL impide que PostgreSQL le infiera un tipo (la misma familia de error de tipado que ya había aparecido antes con una comparación lower(bytea) en el módulo de contenido). Con Specification, un filtro ausente simplemente no agrega una condición a la consulta, en vez de agregar una comparación contra NULL sin tipo.</w:t>
      </w:r>
    </w:p>
    <w:p>
      <w:pPr>
        <w:pStyle w:val="Heading2"/>
        <w:spacing w:after="140" w:before="320"/>
      </w:pPr>
      <w:r>
        <w:rPr>
          <w:b/>
          <w:bCs/>
          <w:color w:val="2E7D32"/>
          <w:sz w:val="24"/>
          <w:szCs w:val="24"/>
        </w:rPr>
        <w:t xml:space="preserve">8.5 @ControllerAdvice con ObjectProvider para atributos de modelo transversales</w:t>
      </w:r>
    </w:p>
    <w:p>
      <w:pPr>
        <w:spacing w:after="160" w:line="276"/>
      </w:pPr>
      <w:r>
        <w:rPr>
          <w:sz w:val="22"/>
          <w:szCs w:val="22"/>
        </w:rPr>
        <w:t xml:space="preserve">El aviso configurable de contenido demostrativo (parámetro aviso.contenido_demostrativo) tiene que llegar a todas las plantillas públicas sin que cada controlador lo pida por separado. La primera forma probada — una llamada SpEL directa a un bean desde la plantilla (@parametroService.valor(...)) — resultó incompatible con @MockitoBean, el mecanismo de mocks más nuevo de Spring: en una prueba @WebMvcTest que recorta el contexto, el resolvedor de SpEL no encuentra el bean por ese nombre aunque el mock esté declarado, y la plantilla revienta. La solución (AvisoDemostrativoAdvice) es un @ControllerAdvice global con un método @ModelAttribute que recibe la dependencia por ObjectProvider&lt;T&gt; en vez de por un campo directo: los @ControllerAdvice sí los detecta automáticamente el recorte de @WebMvcTest (a diferencia de un @Service), y ObjectProvider se degrada solo — en una prueba que ni siquiera mockea el servicio, simplemente no hay aviso, en vez de romper el arranque del contexto. Patrón a reutilizar para cualquier otro atributo de modelo transversal que dependa de un servicio.</w:t>
      </w:r>
    </w:p>
    <w:p>
      <w:pPr>
        <w:pStyle w:val="Heading1"/>
        <w:pageBreakBefore/>
        <w:pBdr>
          <w:bottom w:val="single" w:color="2E7D32" w:sz="6" w:space="4"/>
        </w:pBdr>
        <w:spacing w:after="200" w:before="420"/>
      </w:pPr>
      <w:r>
        <w:rPr>
          <w:b/>
          <w:bCs/>
          <w:color w:val="1B5E20"/>
          <w:sz w:val="30"/>
          <w:szCs w:val="30"/>
        </w:rPr>
        <w:t xml:space="preserve">9. Cómo continuar el desarrollo</w:t>
      </w:r>
    </w:p>
    <w:p>
      <w:pPr>
        <w:pStyle w:val="Heading2"/>
        <w:spacing w:after="140" w:before="320"/>
      </w:pPr>
      <w:r>
        <w:rPr>
          <w:b/>
          <w:bCs/>
          <w:color w:val="2E7D32"/>
          <w:sz w:val="24"/>
          <w:szCs w:val="24"/>
        </w:rPr>
        <w:t xml:space="preserve">9.1 Agregar una funcionalidad nueva</w:t>
      </w:r>
    </w:p>
    <w:p>
      <w:pPr>
        <w:pStyle w:val="ListParagraph"/>
        <w:numPr>
          <w:ilvl w:val="0"/>
          <w:numId w:val="8"/>
        </w:numPr>
        <w:spacing w:after="140" w:line="276"/>
      </w:pPr>
      <w:r>
        <w:rPr>
          <w:sz w:val="22"/>
          <w:szCs w:val="22"/>
        </w:rPr>
        <w:t xml:space="preserve">Ubicar el módulo de dominio al que pertenece (o crear uno nuevo bajo co.edu.uts.portal si es un concepto realmente distinto).</w:t>
      </w:r>
    </w:p>
    <w:p>
      <w:pPr>
        <w:pStyle w:val="ListParagraph"/>
        <w:numPr>
          <w:ilvl w:val="0"/>
          <w:numId w:val="8"/>
        </w:numPr>
        <w:spacing w:after="140" w:line="276"/>
      </w:pPr>
      <w:r>
        <w:rPr>
          <w:sz w:val="22"/>
          <w:szCs w:val="22"/>
        </w:rPr>
        <w:t xml:space="preserve">Seguir el patrón domain → repository → service → web ya usado en los módulos existentes; no es obligatorio tener las cuatro capas si el módulo es pequeño.</w:t>
      </w:r>
    </w:p>
    <w:p>
      <w:pPr>
        <w:pStyle w:val="ListParagraph"/>
        <w:numPr>
          <w:ilvl w:val="0"/>
          <w:numId w:val="8"/>
        </w:numPr>
        <w:spacing w:after="140" w:line="276"/>
      </w:pPr>
      <w:r>
        <w:rPr>
          <w:sz w:val="22"/>
          <w:szCs w:val="22"/>
        </w:rPr>
        <w:t xml:space="preserve">Si hay cambio de esquema, agregar una migración Flyway nueva (ver 9.2) — nunca modificar una migración ya aplicada en producción.</w:t>
      </w:r>
    </w:p>
    <w:p>
      <w:pPr>
        <w:pStyle w:val="ListParagraph"/>
        <w:numPr>
          <w:ilvl w:val="0"/>
          <w:numId w:val="8"/>
        </w:numPr>
        <w:spacing w:after="140" w:line="276"/>
      </w:pPr>
      <w:r>
        <w:rPr>
          <w:sz w:val="22"/>
          <w:szCs w:val="22"/>
        </w:rPr>
        <w:t xml:space="preserve">Si la funcionalidad es exclusiva de un rol, protegerla en las dos capas: authorizeHttpRequests en SecurityConfig y @PreAuthorize en el service.</w:t>
      </w:r>
    </w:p>
    <w:p>
      <w:pPr>
        <w:pStyle w:val="ListParagraph"/>
        <w:numPr>
          <w:ilvl w:val="0"/>
          <w:numId w:val="8"/>
        </w:numPr>
        <w:spacing w:after="140" w:line="276"/>
      </w:pPr>
      <w:r>
        <w:rPr>
          <w:sz w:val="22"/>
          <w:szCs w:val="22"/>
        </w:rPr>
        <w:t xml:space="preserve">Agregar pruebas siguiendo el estilo existente del módulo (@WebMvcTest + mocks para controladores, pruebas directas para clases de dominio sin Spring).</w:t>
      </w:r>
    </w:p>
    <w:p>
      <w:pPr>
        <w:pStyle w:val="Heading2"/>
        <w:spacing w:after="140" w:before="320"/>
      </w:pPr>
      <w:r>
        <w:rPr>
          <w:b/>
          <w:bCs/>
          <w:color w:val="2E7D32"/>
          <w:sz w:val="24"/>
          <w:szCs w:val="24"/>
        </w:rPr>
        <w:t xml:space="preserve">9.2 Agregar una migración de base de datos</w:t>
      </w:r>
    </w:p>
    <w:p>
      <w:pPr>
        <w:spacing w:after="160" w:line="276"/>
      </w:pPr>
      <w:r>
        <w:rPr>
          <w:sz w:val="22"/>
          <w:szCs w:val="22"/>
        </w:rPr>
        <w:t xml:space="preserve">Las migraciones viven en src/main/resources/db/migration y siguen la convención de Flyway:</w:t>
      </w:r>
    </w:p>
    <w:p>
      <w:pPr>
        <w:shd w:fill="F2F2F2" w:color="auto" w:val="clear"/>
        <w:spacing w:after="160" w:line="264"/>
      </w:pPr>
      <w:r>
        <w:rPr>
          <w:rFonts w:ascii="Consolas" w:cs="Consolas" w:eastAsia="Consolas" w:hAnsi="Consolas"/>
          <w:sz w:val="20"/>
          <w:szCs w:val="20"/>
        </w:rPr>
        <w:t xml:space="preserve">V11__descripcion_breve.sql</w:t>
      </w:r>
    </w:p>
    <w:p>
      <w:pPr>
        <w:spacing w:after="160" w:line="276"/>
      </w:pPr>
      <w:r>
        <w:rPr>
          <w:sz w:val="22"/>
          <w:szCs w:val="22"/>
        </w:rPr>
        <w:t xml:space="preserve">Flyway las aplica en orden y una sola vez, automáticamente, al arrancar la aplicación (spring.flyway.enabled: true); no se ejecutan a mano. El histórico de migraciones aplicadas queda en la tabla flyway_schema_history, que por sí misma es evidencia de que el esquema tiene control de versiones.</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Cuidado con las migraciones que actualizan datos ya sembrados:</w:t>
            </w:r>
          </w:p>
          <w:p>
            <w:pPr>
              <w:spacing w:after="0"/>
            </w:pPr>
            <w:r>
              <w:rPr>
                <w:sz w:val="21"/>
                <w:szCs w:val="21"/>
              </w:rPr>
              <w:t xml:space="preserve">Una migración que actualiza (no solo inserta) una fila sembrada por una migración anterior necesita una condición de guarda (WHERE) para no pisar un valor que un administrador ya personalizó desde el panel. Evitar comparar contra el texto exacto sembrado — una transcripción manual de ese texto puede perder tildes u otros detalles y no coincidir nunca con el valor real, dejando la migración como un no-op silencioso, sin ningún error (pasó exactamente así con la migración V11). Preferir una condición estructural: para una entidad con auditoría JPA (BaseAuditable), actualizado_en IS NULL identifica de forma robusta “nunca se tocó desde el panel”, sin depender de transcribir nada.</w:t>
            </w:r>
          </w:p>
        </w:tc>
      </w:tr>
    </w:tbl>
    <w:p>
      <w:pPr>
        <w:pStyle w:val="Heading2"/>
        <w:spacing w:after="140" w:before="320"/>
      </w:pPr>
      <w:r>
        <w:rPr>
          <w:b/>
          <w:bCs/>
          <w:color w:val="2E7D32"/>
          <w:sz w:val="24"/>
          <w:szCs w:val="24"/>
        </w:rPr>
        <w:t xml:space="preserve">9.3 Dónde mirar primero</w:t>
      </w:r>
    </w:p>
    <w:p>
      <w:pPr>
        <w:pStyle w:val="ListParagraph"/>
        <w:numPr>
          <w:ilvl w:val="0"/>
          <w:numId w:val="9"/>
        </w:numPr>
        <w:spacing w:after="80" w:line="276"/>
      </w:pPr>
      <w:r>
        <w:rPr>
          <w:sz w:val="22"/>
          <w:szCs w:val="22"/>
        </w:rPr>
        <w:t xml:space="preserve">README.md en la raíz del repositorio: estado de cada historia de usuario, rutas y cómo correr el proyecto en local.</w:t>
      </w:r>
    </w:p>
    <w:p>
      <w:pPr>
        <w:pStyle w:val="ListParagraph"/>
        <w:numPr>
          <w:ilvl w:val="0"/>
          <w:numId w:val="9"/>
        </w:numPr>
        <w:spacing w:after="80" w:line="276"/>
      </w:pPr>
      <w:r>
        <w:rPr>
          <w:sz w:val="22"/>
          <w:szCs w:val="22"/>
        </w:rPr>
        <w:t xml:space="preserve">pom.xml: lista exacta de dependencias y sus versiones.</w:t>
      </w:r>
    </w:p>
    <w:p>
      <w:pPr>
        <w:pStyle w:val="ListParagraph"/>
        <w:numPr>
          <w:ilvl w:val="0"/>
          <w:numId w:val="9"/>
        </w:numPr>
        <w:spacing w:after="80" w:line="276"/>
      </w:pPr>
      <w:r>
        <w:rPr>
          <w:sz w:val="22"/>
          <w:szCs w:val="22"/>
        </w:rPr>
        <w:t xml:space="preserve">SecurityConfig.java (paquete config): toda la política de acceso en un solo archivo.</w:t>
      </w:r>
    </w:p>
    <w:p>
      <w:pPr>
        <w:pStyle w:val="ListParagraph"/>
        <w:numPr>
          <w:ilvl w:val="0"/>
          <w:numId w:val="9"/>
        </w:numPr>
        <w:spacing w:after="80" w:line="276"/>
      </w:pPr>
      <w:r>
        <w:rPr>
          <w:sz w:val="22"/>
          <w:szCs w:val="22"/>
        </w:rPr>
        <w:t xml:space="preserve">Para el despliegue en Render (Dockerfile, render.yaml, variables de entorno): ver la Guía de despliegue de este mismo conjunto de manuales.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tabs>
        <w:tab w:val="right" w:pos="9026"/>
      </w:tabs>
    </w:pPr>
    <w:r>
      <w:rPr>
        <w:color w:val="777777"/>
        <w:sz w:val="16"/>
        <w:szCs w:val="16"/>
      </w:rPr>
      <w:t xml:space="preserve">Manual técnico</w:t>
    </w:r>
    <w:r>
      <w:rPr>
        <w:color w:val="777777"/>
        <w:sz w:val="16"/>
        <w:szCs w:val="16"/>
      </w:rPr>
      <w:t xml:space="preserve">	Portal de orientación psicosocial UTS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90" w:hanging="360"/>
      </w:pPr>
    </w:lvl>
  </w:abstractNum>
  <w:abstractNum w:abstractNumId="3" w15:restartNumberingAfterBreak="0">
    <w:multiLevelType w:val="hybridMultilevel"/>
    <w:lvl w:ilvl="0" w15:tentative="1">
      <w:start w:val="1"/>
      <w:numFmt w:val="bullet"/>
      <w:lvlText w:val="•"/>
      <w:lvlJc w:val="left"/>
      <w:pPr>
        <w:ind w:left="590" w:hanging="360"/>
      </w:pPr>
    </w:lvl>
  </w:abstractNum>
  <w:abstractNum w:abstractNumId="4" w15:restartNumberingAfterBreak="0">
    <w:multiLevelType w:val="hybridMultilevel"/>
    <w:lvl w:ilvl="0" w15:tentative="1">
      <w:start w:val="1"/>
      <w:numFmt w:val="bullet"/>
      <w:lvlText w:val="•"/>
      <w:lvlJc w:val="left"/>
      <w:pPr>
        <w:ind w:left="590" w:hanging="360"/>
      </w:pPr>
    </w:lvl>
  </w:abstractNum>
  <w:abstractNum w:abstractNumId="5" w15:restartNumberingAfterBreak="0">
    <w:multiLevelType w:val="hybridMultilevel"/>
    <w:lvl w:ilvl="0" w15:tentative="1">
      <w:start w:val="1"/>
      <w:numFmt w:val="bullet"/>
      <w:lvlText w:val="•"/>
      <w:lvlJc w:val="left"/>
      <w:pPr>
        <w:ind w:left="590" w:hanging="360"/>
      </w:pPr>
    </w:lvl>
  </w:abstractNum>
  <w:abstractNum w:abstractNumId="6" w15:restartNumberingAfterBreak="0">
    <w:multiLevelType w:val="hybridMultilevel"/>
    <w:lvl w:ilvl="0" w15:tentative="1">
      <w:start w:val="1"/>
      <w:numFmt w:val="bullet"/>
      <w:lvlText w:val="•"/>
      <w:lvlJc w:val="left"/>
      <w:pPr>
        <w:ind w:left="590" w:hanging="360"/>
      </w:pPr>
    </w:lvl>
  </w:abstractNum>
  <w:abstractNum w:abstractNumId="7" w15:restartNumberingAfterBreak="0">
    <w:multiLevelType w:val="hybridMultilevel"/>
    <w:lvl w:ilvl="0" w15:tentative="1">
      <w:start w:val="1"/>
      <w:numFmt w:val="bullet"/>
      <w:lvlText w:val="•"/>
      <w:lvlJc w:val="left"/>
      <w:pPr>
        <w:ind w:left="590" w:hanging="360"/>
      </w:pPr>
    </w:lvl>
  </w:abstractNum>
  <w:abstractNum w:abstractNumId="8" w15:restartNumberingAfterBreak="0">
    <w:multiLevelType w:val="hybridMultilevel"/>
    <w:lvl w:ilvl="0" w15:tentative="1">
      <w:start w:val="1"/>
      <w:numFmt w:val="decimal"/>
      <w:lvlText w:val="%1."/>
      <w:lvlJc w:val="left"/>
      <w:pPr>
        <w:ind w:left="590" w:hanging="360"/>
      </w:pPr>
    </w:lvl>
  </w:abstractNum>
  <w:abstractNum w:abstractNumId="9" w15:restartNumberingAfterBreak="0">
    <w:multiLevelType w:val="hybridMultilevel"/>
    <w:lvl w:ilvl="0" w15:tentative="1">
      <w:start w:val="1"/>
      <w:numFmt w:val="bullet"/>
      <w:lvlText w:val="•"/>
      <w:lvlJc w:val="left"/>
      <w:pPr>
        <w:ind w:left="59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e0e17ee14f8061437ccd77b610bd68e98f9e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Portal de orientación psicosocial UTS</dc:title>
  <dc:creator>Proyecto de grado 65-2026-015 — Portal de orientación psicosocial UTS</dc:creator>
  <dc:description>Arquitectura, modelo de datos, servicios de dominio y decisiones de seguridad</dc:description>
  <cp:lastModifiedBy>Un-named</cp:lastModifiedBy>
  <cp:revision>1</cp:revision>
  <dcterms:created xsi:type="dcterms:W3CDTF">2026-09-24T07:17:11.796Z</dcterms:created>
  <dcterms:modified xsi:type="dcterms:W3CDTF">2026-09-24T07:17:11.796Z</dcterms:modified>
</cp:coreProperties>
</file>

<file path=docProps/custom.xml><?xml version="1.0" encoding="utf-8"?>
<Properties xmlns="http://schemas.openxmlformats.org/officeDocument/2006/custom-properties" xmlns:vt="http://schemas.openxmlformats.org/officeDocument/2006/docPropsVTypes"/>
</file>