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22"/>
          <w:szCs w:val="22"/>
        </w:rPr>
        <w:t xml:space="preserve">Portal de orientación psicosocial UTS</w:t>
      </w:r>
    </w:p>
    <w:p>
      <w:pPr>
        <w:spacing w:after="200" w:before="120"/>
      </w:pPr>
      <w:r>
        <w:rPr>
          <w:b/>
          <w:bCs/>
          <w:color w:val="1B5E20"/>
          <w:sz w:val="46"/>
          <w:szCs w:val="46"/>
        </w:rPr>
        <w:t xml:space="preserve">Manual de usuario</w:t>
      </w:r>
    </w:p>
    <w:p>
      <w:pPr>
        <w:spacing w:after="360"/>
      </w:pPr>
      <w:r>
        <w:rPr>
          <w:i/>
          <w:iCs/>
          <w:color w:val="444444"/>
          <w:sz w:val="26"/>
          <w:szCs w:val="26"/>
        </w:rPr>
        <w:t xml:space="preserve">Guía paso a paso del portal público, para cualquier estudiante o visitante</w:t>
      </w:r>
    </w:p>
    <w:p>
      <w:pPr>
        <w:spacing w:after="160" w:line="276"/>
      </w:pPr>
      <w:r>
        <w:rPr>
          <w:color w:val="555555"/>
          <w:sz w:val="21"/>
          <w:szCs w:val="21"/>
        </w:rPr>
        <w:t xml:space="preserve">Proyecto de grado 65-2026-015</w:t>
      </w:r>
    </w:p>
    <w:p>
      <w:pPr>
        <w:spacing w:after="160" w:line="276"/>
      </w:pPr>
      <w:r>
        <w:rPr>
          <w:color w:val="555555"/>
          <w:sz w:val="21"/>
          <w:szCs w:val="21"/>
        </w:rPr>
        <w:t xml:space="preserve">Elaborado a partir de un recorrido guiado del portal público real, en producción (https://portal-uts-k888.onrender.com), verificando en vivo cada pantalla descrita en este documento.</w:t>
      </w:r>
    </w:p>
    <w:p>
      <w:pPr>
        <w:spacing w:after="200"/>
      </w:pPr>
    </w:p>
    <w:p>
      <w:pPr>
        <w:pStyle w:val="Heading2"/>
        <w:spacing w:after="140" w:before="320"/>
      </w:pPr>
      <w:r>
        <w:rPr>
          <w:b/>
          <w:bCs/>
          <w:color w:val="2E7D32"/>
          <w:sz w:val="24"/>
          <w:szCs w:val="24"/>
        </w:rPr>
        <w:t xml:space="preserve">Contenido de este manual</w:t>
      </w:r>
    </w:p>
    <w:p>
      <w:pPr>
        <w:pStyle w:val="ListParagraph"/>
        <w:numPr>
          <w:ilvl w:val="0"/>
          <w:numId w:val="2"/>
        </w:numPr>
        <w:spacing w:after="80" w:line="276"/>
      </w:pPr>
      <w:r>
        <w:rPr>
          <w:sz w:val="22"/>
          <w:szCs w:val="22"/>
        </w:rPr>
        <w:t xml:space="preserve">1. Antes de empezar</w:t>
      </w:r>
    </w:p>
    <w:p>
      <w:pPr>
        <w:pStyle w:val="ListParagraph"/>
        <w:numPr>
          <w:ilvl w:val="0"/>
          <w:numId w:val="2"/>
        </w:numPr>
        <w:spacing w:after="80" w:line="276"/>
      </w:pPr>
      <w:r>
        <w:rPr>
          <w:sz w:val="22"/>
          <w:szCs w:val="22"/>
        </w:rPr>
        <w:t xml:space="preserve">2. Recorrido general del portal</w:t>
      </w:r>
    </w:p>
    <w:p>
      <w:pPr>
        <w:pStyle w:val="ListParagraph"/>
        <w:numPr>
          <w:ilvl w:val="0"/>
          <w:numId w:val="2"/>
        </w:numPr>
        <w:spacing w:after="80" w:line="276"/>
      </w:pPr>
      <w:r>
        <w:rPr>
          <w:sz w:val="22"/>
          <w:szCs w:val="22"/>
        </w:rPr>
        <w:t xml:space="preserve">3. Consultar Contenidos</w:t>
      </w:r>
    </w:p>
    <w:p>
      <w:pPr>
        <w:pStyle w:val="ListParagraph"/>
        <w:numPr>
          <w:ilvl w:val="0"/>
          <w:numId w:val="2"/>
        </w:numPr>
        <w:spacing w:after="80" w:line="276"/>
      </w:pPr>
      <w:r>
        <w:rPr>
          <w:sz w:val="22"/>
          <w:szCs w:val="22"/>
        </w:rPr>
        <w:t xml:space="preserve">4. Consultar Rutas institucionales</w:t>
      </w:r>
    </w:p>
    <w:p>
      <w:pPr>
        <w:pStyle w:val="ListParagraph"/>
        <w:numPr>
          <w:ilvl w:val="0"/>
          <w:numId w:val="2"/>
        </w:numPr>
        <w:spacing w:after="80" w:line="276"/>
      </w:pPr>
      <w:r>
        <w:rPr>
          <w:sz w:val="22"/>
          <w:szCs w:val="22"/>
        </w:rPr>
        <w:t xml:space="preserve">5. Hacer la autoorientación</w:t>
      </w:r>
    </w:p>
    <w:p>
      <w:pPr>
        <w:pStyle w:val="ListParagraph"/>
        <w:numPr>
          <w:ilvl w:val="0"/>
          <w:numId w:val="2"/>
        </w:numPr>
        <w:spacing w:after="80" w:line="276"/>
      </w:pPr>
      <w:r>
        <w:rPr>
          <w:sz w:val="22"/>
          <w:szCs w:val="22"/>
        </w:rPr>
        <w:t xml:space="preserve">6. Información urgente y canal institucional</w:t>
      </w:r>
    </w:p>
    <w:p>
      <w:pPr>
        <w:pStyle w:val="ListParagraph"/>
        <w:numPr>
          <w:ilvl w:val="0"/>
          <w:numId w:val="2"/>
        </w:numPr>
        <w:spacing w:after="80" w:line="276"/>
      </w:pPr>
      <w:r>
        <w:rPr>
          <w:sz w:val="22"/>
          <w:szCs w:val="22"/>
        </w:rPr>
        <w:t xml:space="preserve">7. Buscar en el portal</w:t>
      </w:r>
    </w:p>
    <w:p>
      <w:pPr>
        <w:pStyle w:val="ListParagraph"/>
        <w:numPr>
          <w:ilvl w:val="0"/>
          <w:numId w:val="2"/>
        </w:numPr>
        <w:spacing w:after="80" w:line="276"/>
      </w:pPr>
      <w:r>
        <w:rPr>
          <w:sz w:val="22"/>
          <w:szCs w:val="22"/>
        </w:rPr>
        <w:t xml:space="preserve">8. Preguntas frecuentes</w:t>
      </w:r>
    </w:p>
    <w:p>
      <w:pPr>
        <w:pStyle w:val="Heading1"/>
        <w:pageBreakBefore/>
        <w:pBdr>
          <w:bottom w:val="single" w:color="2E7D32" w:sz="6" w:space="4"/>
        </w:pBdr>
        <w:spacing w:after="200" w:before="420"/>
      </w:pPr>
      <w:r>
        <w:rPr>
          <w:b/>
          <w:bCs/>
          <w:color w:val="1B5E20"/>
          <w:sz w:val="30"/>
          <w:szCs w:val="30"/>
        </w:rPr>
        <w:t xml:space="preserve">1. Antes de empezar</w:t>
      </w:r>
    </w:p>
    <w:p>
      <w:pPr>
        <w:spacing w:after="160" w:line="276"/>
      </w:pPr>
      <w:r>
        <w:rPr>
          <w:sz w:val="22"/>
          <w:szCs w:val="22"/>
        </w:rPr>
        <w:t xml:space="preserve">El Portal de orientación psicosocial UTS es un sitio de acceso público y libre: cualquier estudiante, docente o visitante puede usarlo desde su navegador, sin crear una cuenta ni iniciar sesión.</w:t>
      </w:r>
    </w:p>
    <w:p>
      <w:pPr>
        <w:spacing w:after="160" w:line="276"/>
      </w:pPr>
      <w:r>
        <w:rPr>
          <w:sz w:val="22"/>
          <w:szCs w:val="22"/>
        </w:rPr>
        <w:t xml:space="preserve">Este manual explica las cuatro cosas que puede hacer cualquier persona en el portal:</w:t>
      </w:r>
    </w:p>
    <w:p>
      <w:pPr>
        <w:pStyle w:val="ListParagraph"/>
        <w:numPr>
          <w:ilvl w:val="0"/>
          <w:numId w:val="3"/>
        </w:numPr>
        <w:spacing w:after="80" w:line="276"/>
      </w:pPr>
      <w:r>
        <w:rPr>
          <w:sz w:val="22"/>
          <w:szCs w:val="22"/>
        </w:rPr>
        <w:t xml:space="preserve">Consultar Contenidos: artículos informativos sobre bienestar y vida universitaria.</w:t>
      </w:r>
    </w:p>
    <w:p>
      <w:pPr>
        <w:pStyle w:val="ListParagraph"/>
        <w:numPr>
          <w:ilvl w:val="0"/>
          <w:numId w:val="3"/>
        </w:numPr>
        <w:spacing w:after="80" w:line="276"/>
      </w:pPr>
      <w:r>
        <w:rPr>
          <w:sz w:val="22"/>
          <w:szCs w:val="22"/>
        </w:rPr>
        <w:t xml:space="preserve">Consultar Rutas institucionales: a dónde acudir según su situación, y cómo contactar cada una.</w:t>
      </w:r>
    </w:p>
    <w:p>
      <w:pPr>
        <w:pStyle w:val="ListParagraph"/>
        <w:numPr>
          <w:ilvl w:val="0"/>
          <w:numId w:val="3"/>
        </w:numPr>
        <w:spacing w:after="80" w:line="276"/>
      </w:pPr>
      <w:r>
        <w:rPr>
          <w:sz w:val="22"/>
          <w:szCs w:val="22"/>
        </w:rPr>
        <w:t xml:space="preserve">Hacer la autoorientación: un cuestionario breve y anónimo que orienta sobre un tema (por ejemplo, estrés académico) y sugiere recomendaciones y rutas.</w:t>
      </w:r>
    </w:p>
    <w:p>
      <w:pPr>
        <w:pStyle w:val="ListParagraph"/>
        <w:numPr>
          <w:ilvl w:val="0"/>
          <w:numId w:val="3"/>
        </w:numPr>
        <w:spacing w:after="80" w:line="276"/>
      </w:pPr>
      <w:r>
        <w:rPr>
          <w:sz w:val="22"/>
          <w:szCs w:val="22"/>
        </w:rPr>
        <w:t xml:space="preserve">Ver la información urgente y el canal institucional de contacto, disponibles siempre a un clic de distancia.</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Este manual cubre el portal público. Si busca cómo administrar los Contenidos, las Rutas o los Cuestionarios desde el panel, ese es el “Manual del panel administrativo — CAE”, un documento aparte.</w:t>
            </w:r>
          </w:p>
        </w:tc>
      </w:tr>
    </w:tbl>
    <w:p>
      <w:pPr>
        <w:pStyle w:val="Heading2"/>
        <w:spacing w:after="140" w:before="320"/>
      </w:pPr>
      <w:r>
        <w:rPr>
          <w:b/>
          <w:bCs/>
          <w:color w:val="2E7D32"/>
          <w:sz w:val="24"/>
          <w:szCs w:val="24"/>
        </w:rPr>
        <w:t xml:space="preserve">Un aviso importante</w:t>
      </w:r>
    </w:p>
    <w:p>
      <w:pPr>
        <w:spacing w:after="160" w:line="276"/>
      </w:pPr>
      <w:r>
        <w:rPr>
          <w:sz w:val="22"/>
          <w:szCs w:val="22"/>
        </w:rPr>
        <w:t xml:space="preserve">La autoorientación del portal es una herramienta de reflexión personal. No reemplaza la valoración de un profesional ni constituye un diagnóstico. Si usted o alguien más está en peligro inmediato, la sección 6 de este manual explica cómo obtener ayuda urgente de inmediato.</w:t>
      </w:r>
    </w:p>
    <w:p>
      <w:pPr>
        <w:pStyle w:val="Heading1"/>
        <w:pageBreakBefore/>
        <w:pBdr>
          <w:bottom w:val="single" w:color="2E7D32" w:sz="6" w:space="4"/>
        </w:pBdr>
        <w:spacing w:after="200" w:before="420"/>
      </w:pPr>
      <w:r>
        <w:rPr>
          <w:b/>
          <w:bCs/>
          <w:color w:val="1B5E20"/>
          <w:sz w:val="30"/>
          <w:szCs w:val="30"/>
        </w:rPr>
        <w:t xml:space="preserve">2. Recorrido general del portal</w:t>
      </w:r>
    </w:p>
    <w:p>
      <w:pPr>
        <w:spacing w:after="160" w:line="276"/>
      </w:pPr>
      <w:r>
        <w:rPr>
          <w:sz w:val="22"/>
          <w:szCs w:val="22"/>
        </w:rPr>
        <w:t xml:space="preserve">Todas las páginas del portal comparten el mismo menú, que se abre con el ícono ☰ en la esquina superior derecha:</w:t>
      </w:r>
    </w:p>
    <w:p>
      <w:pPr>
        <w:spacing w:after="160" w:line="276"/>
      </w:pPr>
      <w:r>
        <w:rPr>
          <w:sz w:val="22"/>
          <w:szCs w:val="22"/>
        </w:rPr>
        <w:t xml:space="preserve">Las páginas públicas también pueden mostrar, debajo del menú, una franja con un aviso de que el portal es un desarrollo académico con contenido de ejemplo para fines de demostración — el CAE la edita o la retira en cualquier momento desde el panel.</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600"/>
        <w:gridCol w:w="6760"/>
      </w:tblGrid>
      <w:tr>
        <w:trPr>
          <w:tblHeader/>
        </w:trPr>
        <w:tc>
          <w:tcPr>
            <w:tcW w:type="dxa" w:w="2600"/>
            <w:shd w:fill="E8F5E9" w:color="auto" w:val="clear"/>
            <w:tcMar>
              <w:top w:type="dxa" w:w="90"/>
              <w:left w:type="dxa" w:w="120"/>
              <w:bottom w:type="dxa" w:w="90"/>
              <w:right w:type="dxa" w:w="120"/>
            </w:tcMar>
          </w:tcPr>
          <w:p>
            <w:r>
              <w:rPr>
                <w:b/>
                <w:bCs/>
                <w:sz w:val="21"/>
                <w:szCs w:val="21"/>
              </w:rPr>
              <w:t xml:space="preserve">Opción del menú</w:t>
            </w:r>
          </w:p>
        </w:tc>
        <w:tc>
          <w:tcPr>
            <w:tcW w:type="dxa" w:w="6760"/>
            <w:shd w:fill="E8F5E9" w:color="auto" w:val="clear"/>
            <w:tcMar>
              <w:top w:type="dxa" w:w="90"/>
              <w:left w:type="dxa" w:w="120"/>
              <w:bottom w:type="dxa" w:w="90"/>
              <w:right w:type="dxa" w:w="120"/>
            </w:tcMar>
          </w:tcPr>
          <w:p>
            <w:r>
              <w:rPr>
                <w:b/>
                <w:bCs/>
                <w:sz w:val="21"/>
                <w:szCs w:val="21"/>
              </w:rPr>
              <w:t xml:space="preserve">Para qué sirve</w:t>
            </w:r>
          </w:p>
        </w:tc>
      </w:tr>
      <w:tr>
        <w:tc>
          <w:tcPr>
            <w:tcW w:type="dxa" w:w="2600"/>
            <w:tcMar>
              <w:top w:type="dxa" w:w="90"/>
              <w:left w:type="dxa" w:w="120"/>
              <w:bottom w:type="dxa" w:w="90"/>
              <w:right w:type="dxa" w:w="120"/>
            </w:tcMar>
          </w:tcPr>
          <w:p>
            <w:pPr>
              <w:spacing w:after="40"/>
            </w:pPr>
            <w:r>
              <w:rPr>
                <w:sz w:val="21"/>
                <w:szCs w:val="21"/>
              </w:rPr>
              <w:t xml:space="preserve">Contenidos</w:t>
            </w:r>
          </w:p>
        </w:tc>
        <w:tc>
          <w:tcPr>
            <w:tcW w:type="dxa" w:w="6760"/>
            <w:tcMar>
              <w:top w:type="dxa" w:w="90"/>
              <w:left w:type="dxa" w:w="120"/>
              <w:bottom w:type="dxa" w:w="90"/>
              <w:right w:type="dxa" w:w="120"/>
            </w:tcMar>
          </w:tcPr>
          <w:p>
            <w:pPr>
              <w:spacing w:after="40"/>
            </w:pPr>
            <w:r>
              <w:rPr>
                <w:sz w:val="21"/>
                <w:szCs w:val="21"/>
              </w:rPr>
              <w:t xml:space="preserve">Artículos informativos. Ver sección 3.</w:t>
            </w:r>
          </w:p>
        </w:tc>
      </w:tr>
      <w:tr>
        <w:tc>
          <w:tcPr>
            <w:tcW w:type="dxa" w:w="2600"/>
            <w:tcMar>
              <w:top w:type="dxa" w:w="90"/>
              <w:left w:type="dxa" w:w="120"/>
              <w:bottom w:type="dxa" w:w="90"/>
              <w:right w:type="dxa" w:w="120"/>
            </w:tcMar>
          </w:tcPr>
          <w:p>
            <w:pPr>
              <w:spacing w:after="40"/>
            </w:pPr>
            <w:r>
              <w:rPr>
                <w:sz w:val="21"/>
                <w:szCs w:val="21"/>
              </w:rPr>
              <w:t xml:space="preserve">Rutas y contactos</w:t>
            </w:r>
          </w:p>
        </w:tc>
        <w:tc>
          <w:tcPr>
            <w:tcW w:type="dxa" w:w="6760"/>
            <w:tcMar>
              <w:top w:type="dxa" w:w="90"/>
              <w:left w:type="dxa" w:w="120"/>
              <w:bottom w:type="dxa" w:w="90"/>
              <w:right w:type="dxa" w:w="120"/>
            </w:tcMar>
          </w:tcPr>
          <w:p>
            <w:pPr>
              <w:spacing w:after="40"/>
            </w:pPr>
            <w:r>
              <w:rPr>
                <w:sz w:val="21"/>
                <w:szCs w:val="21"/>
              </w:rPr>
              <w:t xml:space="preserve">A dónde acudir y cómo contactar cada ruta. Ver sección 4.</w:t>
            </w:r>
          </w:p>
        </w:tc>
      </w:tr>
      <w:tr>
        <w:tc>
          <w:tcPr>
            <w:tcW w:type="dxa" w:w="2600"/>
            <w:tcMar>
              <w:top w:type="dxa" w:w="90"/>
              <w:left w:type="dxa" w:w="120"/>
              <w:bottom w:type="dxa" w:w="90"/>
              <w:right w:type="dxa" w:w="120"/>
            </w:tcMar>
          </w:tcPr>
          <w:p>
            <w:pPr>
              <w:spacing w:after="40"/>
            </w:pPr>
            <w:r>
              <w:rPr>
                <w:sz w:val="21"/>
                <w:szCs w:val="21"/>
              </w:rPr>
              <w:t xml:space="preserve">Autoorientación</w:t>
            </w:r>
          </w:p>
        </w:tc>
        <w:tc>
          <w:tcPr>
            <w:tcW w:type="dxa" w:w="6760"/>
            <w:tcMar>
              <w:top w:type="dxa" w:w="90"/>
              <w:left w:type="dxa" w:w="120"/>
              <w:bottom w:type="dxa" w:w="90"/>
              <w:right w:type="dxa" w:w="120"/>
            </w:tcMar>
          </w:tcPr>
          <w:p>
            <w:pPr>
              <w:spacing w:after="40"/>
            </w:pPr>
            <w:r>
              <w:rPr>
                <w:sz w:val="21"/>
                <w:szCs w:val="21"/>
              </w:rPr>
              <w:t xml:space="preserve">El cuestionario de reflexión anónimo. Ver sección 5.</w:t>
            </w:r>
          </w:p>
        </w:tc>
      </w:tr>
      <w:tr>
        <w:tc>
          <w:tcPr>
            <w:tcW w:type="dxa" w:w="2600"/>
            <w:tcMar>
              <w:top w:type="dxa" w:w="90"/>
              <w:left w:type="dxa" w:w="120"/>
              <w:bottom w:type="dxa" w:w="90"/>
              <w:right w:type="dxa" w:w="120"/>
            </w:tcMar>
          </w:tcPr>
          <w:p>
            <w:pPr>
              <w:spacing w:after="40"/>
            </w:pPr>
            <w:r>
              <w:rPr>
                <w:sz w:val="21"/>
                <w:szCs w:val="21"/>
              </w:rPr>
              <w:t xml:space="preserve">Urgencias</w:t>
            </w:r>
          </w:p>
        </w:tc>
        <w:tc>
          <w:tcPr>
            <w:tcW w:type="dxa" w:w="6760"/>
            <w:tcMar>
              <w:top w:type="dxa" w:w="90"/>
              <w:left w:type="dxa" w:w="120"/>
              <w:bottom w:type="dxa" w:w="90"/>
              <w:right w:type="dxa" w:w="120"/>
            </w:tcMar>
          </w:tcPr>
          <w:p>
            <w:pPr>
              <w:spacing w:after="40"/>
            </w:pPr>
            <w:r>
              <w:rPr>
                <w:sz w:val="21"/>
                <w:szCs w:val="21"/>
              </w:rPr>
              <w:t xml:space="preserve">Información para una situación urgente. Ver sección 6.</w:t>
            </w:r>
          </w:p>
        </w:tc>
      </w:tr>
      <w:tr>
        <w:tc>
          <w:tcPr>
            <w:tcW w:type="dxa" w:w="2600"/>
            <w:tcMar>
              <w:top w:type="dxa" w:w="90"/>
              <w:left w:type="dxa" w:w="120"/>
              <w:bottom w:type="dxa" w:w="90"/>
              <w:right w:type="dxa" w:w="120"/>
            </w:tcMar>
          </w:tcPr>
          <w:p>
            <w:pPr>
              <w:spacing w:after="40"/>
            </w:pPr>
            <w:r>
              <w:rPr>
                <w:sz w:val="21"/>
                <w:szCs w:val="21"/>
              </w:rPr>
              <w:t xml:space="preserve">Buscar…</w:t>
            </w:r>
          </w:p>
        </w:tc>
        <w:tc>
          <w:tcPr>
            <w:tcW w:type="dxa" w:w="6760"/>
            <w:tcMar>
              <w:top w:type="dxa" w:w="90"/>
              <w:left w:type="dxa" w:w="120"/>
              <w:bottom w:type="dxa" w:w="90"/>
              <w:right w:type="dxa" w:w="120"/>
            </w:tcMar>
          </w:tcPr>
          <w:p>
            <w:pPr>
              <w:spacing w:after="40"/>
            </w:pPr>
            <w:r>
              <w:rPr>
                <w:sz w:val="21"/>
                <w:szCs w:val="21"/>
              </w:rPr>
              <w:t xml:space="preserve">Cuadro de búsqueda del portal. Ver sección 7.</w:t>
            </w:r>
          </w:p>
        </w:tc>
      </w:tr>
      <w:tr>
        <w:tc>
          <w:tcPr>
            <w:tcW w:type="dxa" w:w="2600"/>
            <w:tcMar>
              <w:top w:type="dxa" w:w="90"/>
              <w:left w:type="dxa" w:w="120"/>
              <w:bottom w:type="dxa" w:w="90"/>
              <w:right w:type="dxa" w:w="120"/>
            </w:tcMar>
          </w:tcPr>
          <w:p>
            <w:pPr>
              <w:spacing w:after="40"/>
            </w:pPr>
            <w:r>
              <w:rPr>
                <w:sz w:val="21"/>
                <w:szCs w:val="21"/>
              </w:rPr>
              <w:t xml:space="preserve">Iniciar sesión</w:t>
            </w:r>
          </w:p>
        </w:tc>
        <w:tc>
          <w:tcPr>
            <w:tcW w:type="dxa" w:w="6760"/>
            <w:tcMar>
              <w:top w:type="dxa" w:w="90"/>
              <w:left w:type="dxa" w:w="120"/>
              <w:bottom w:type="dxa" w:w="90"/>
              <w:right w:type="dxa" w:w="120"/>
            </w:tcMar>
          </w:tcPr>
          <w:p>
            <w:pPr>
              <w:spacing w:after="40"/>
            </w:pPr>
            <w:r>
              <w:rPr>
                <w:sz w:val="21"/>
                <w:szCs w:val="21"/>
              </w:rPr>
              <w:t xml:space="preserve">Solo para el personal administrativo del CAE; no hace falta para nada de lo descrito en este manual.</w:t>
            </w:r>
          </w:p>
        </w:tc>
      </w:tr>
    </w:tbl>
    <w:p>
      <w:pPr>
        <w:pStyle w:val="Heading2"/>
        <w:spacing w:after="140" w:before="320"/>
      </w:pPr>
      <w:r>
        <w:rPr>
          <w:b/>
          <w:bCs/>
          <w:color w:val="2E7D32"/>
          <w:sz w:val="24"/>
          <w:szCs w:val="24"/>
        </w:rPr>
        <w:t xml:space="preserve">2.1 La portada</w:t>
      </w:r>
    </w:p>
    <w:p>
      <w:pPr>
        <w:spacing w:after="160" w:line="276"/>
      </w:pPr>
      <w:r>
        <w:rPr>
          <w:sz w:val="22"/>
          <w:szCs w:val="22"/>
        </w:rPr>
        <w:t xml:space="preserve">La página de inicio (la dirección del portal, sin nada más al final) tiene dos botones grandes:</w:t>
      </w:r>
    </w:p>
    <w:p>
      <w:pPr>
        <w:pStyle w:val="ListParagraph"/>
        <w:numPr>
          <w:ilvl w:val="0"/>
          <w:numId w:val="4"/>
        </w:numPr>
        <w:spacing w:after="80" w:line="276"/>
      </w:pPr>
      <w:r>
        <w:rPr>
          <w:sz w:val="22"/>
          <w:szCs w:val="22"/>
        </w:rPr>
        <w:t xml:space="preserve">“Hacer la autoorientación” — lleva directo a la sección 5 de este manual.</w:t>
      </w:r>
    </w:p>
    <w:p>
      <w:pPr>
        <w:pStyle w:val="ListParagraph"/>
        <w:numPr>
          <w:ilvl w:val="0"/>
          <w:numId w:val="4"/>
        </w:numPr>
        <w:spacing w:after="80" w:line="276"/>
      </w:pPr>
      <w:r>
        <w:rPr>
          <w:sz w:val="22"/>
          <w:szCs w:val="22"/>
        </w:rPr>
        <w:t xml:space="preserve">“Ver rutas de atención” — lleva directo a la sección 4.</w:t>
      </w:r>
    </w:p>
    <w:p>
      <w:pPr>
        <w:spacing w:after="160" w:line="276"/>
      </w:pPr>
      <w:r>
        <w:rPr>
          <w:sz w:val="22"/>
          <w:szCs w:val="22"/>
        </w:rPr>
        <w:t xml:space="preserve">Debajo, la portada muestra “Destacados”: un carrusel con algunos Contenidos o Rutas que el equipo del CAE eligió resaltar. Al tocar una tarjeta del carrusel, se abre ese contenido o ruta.</w:t>
      </w:r>
    </w:p>
    <w:p>
      <w:pPr>
        <w:pStyle w:val="Heading1"/>
        <w:pageBreakBefore/>
        <w:pBdr>
          <w:bottom w:val="single" w:color="2E7D32" w:sz="6" w:space="4"/>
        </w:pBdr>
        <w:spacing w:after="200" w:before="420"/>
      </w:pPr>
      <w:r>
        <w:rPr>
          <w:b/>
          <w:bCs/>
          <w:color w:val="1B5E20"/>
          <w:sz w:val="30"/>
          <w:szCs w:val="30"/>
        </w:rPr>
        <w:t xml:space="preserve">3. Consultar Contenidos</w:t>
      </w:r>
    </w:p>
    <w:p>
      <w:pPr>
        <w:pStyle w:val="Heading2"/>
        <w:spacing w:after="140" w:before="320"/>
      </w:pPr>
      <w:r>
        <w:rPr>
          <w:b/>
          <w:bCs/>
          <w:color w:val="2E7D32"/>
          <w:sz w:val="24"/>
          <w:szCs w:val="24"/>
        </w:rPr>
        <w:t xml:space="preserve">3.1 La lista de Contenidos</w:t>
      </w:r>
    </w:p>
    <w:p>
      <w:pPr>
        <w:spacing w:after="160" w:line="276"/>
      </w:pPr>
      <w:r>
        <w:rPr>
          <w:sz w:val="22"/>
          <w:szCs w:val="22"/>
        </w:rPr>
        <w:t xml:space="preserve">Al entrar a “Contenidos” ve una fila de categorías (por ejemplo, “Todas”, “Salud mental y bienestar”, “Vida universitaria y trámites”, “Recursos para docentes”) y, debajo, las tarjetas de los artículos disponibles: cada una muestra su categoría, el título, un resumen breve y la fecha de última actualización. Toque una categoría para ver solo los artículos de ese tema, o dele a “Todas” para volver a verlos todos.</w:t>
      </w:r>
    </w:p>
    <w:p>
      <w:pPr>
        <w:pStyle w:val="Heading2"/>
        <w:spacing w:after="140" w:before="320"/>
      </w:pPr>
      <w:r>
        <w:rPr>
          <w:b/>
          <w:bCs/>
          <w:color w:val="2E7D32"/>
          <w:sz w:val="24"/>
          <w:szCs w:val="24"/>
        </w:rPr>
        <w:t xml:space="preserve">3.2 Abrir un contenido</w:t>
      </w:r>
    </w:p>
    <w:p>
      <w:pPr>
        <w:spacing w:after="160" w:line="276"/>
      </w:pPr>
      <w:r>
        <w:rPr>
          <w:sz w:val="22"/>
          <w:szCs w:val="22"/>
        </w:rPr>
        <w:t xml:space="preserve">Al tocar el título de un artículo, entra a su página completa, con:</w:t>
      </w:r>
    </w:p>
    <w:p>
      <w:pPr>
        <w:pStyle w:val="ListParagraph"/>
        <w:numPr>
          <w:ilvl w:val="0"/>
          <w:numId w:val="5"/>
        </w:numPr>
        <w:spacing w:after="80" w:line="276"/>
      </w:pPr>
      <w:r>
        <w:rPr>
          <w:sz w:val="22"/>
          <w:szCs w:val="22"/>
        </w:rPr>
        <w:t xml:space="preserve">Un enlace “← Contenidos” arriba, para volver a la lista.</w:t>
      </w:r>
    </w:p>
    <w:p>
      <w:pPr>
        <w:pStyle w:val="ListParagraph"/>
        <w:numPr>
          <w:ilvl w:val="0"/>
          <w:numId w:val="5"/>
        </w:numPr>
        <w:spacing w:after="80" w:line="276"/>
      </w:pPr>
      <w:r>
        <w:rPr>
          <w:sz w:val="22"/>
          <w:szCs w:val="22"/>
        </w:rPr>
        <w:t xml:space="preserve">La categoría, el título y la fecha de la última actualización.</w:t>
      </w:r>
    </w:p>
    <w:p>
      <w:pPr>
        <w:pStyle w:val="ListParagraph"/>
        <w:numPr>
          <w:ilvl w:val="0"/>
          <w:numId w:val="5"/>
        </w:numPr>
        <w:spacing w:after="80" w:line="276"/>
      </w:pPr>
      <w:r>
        <w:rPr>
          <w:sz w:val="22"/>
          <w:szCs w:val="22"/>
        </w:rPr>
        <w:t xml:space="preserve">Si el artículo tiene una imagen, un aviso “Toca la imagen para verla en tamaño completo” — tóquela para ampliarla.</w:t>
      </w:r>
    </w:p>
    <w:p>
      <w:pPr>
        <w:pStyle w:val="ListParagraph"/>
        <w:numPr>
          <w:ilvl w:val="0"/>
          <w:numId w:val="5"/>
        </w:numPr>
        <w:spacing w:after="80" w:line="276"/>
      </w:pPr>
      <w:r>
        <w:rPr>
          <w:sz w:val="22"/>
          <w:szCs w:val="22"/>
        </w:rPr>
        <w:t xml:space="preserve">El texto completo del artículo.</w:t>
      </w:r>
    </w:p>
    <w:p>
      <w:pPr>
        <w:pStyle w:val="ListParagraph"/>
        <w:numPr>
          <w:ilvl w:val="0"/>
          <w:numId w:val="5"/>
        </w:numPr>
        <w:spacing w:after="80" w:line="276"/>
      </w:pPr>
      <w:r>
        <w:rPr>
          <w:sz w:val="22"/>
          <w:szCs w:val="22"/>
        </w:rPr>
        <w:t xml:space="preserve">Al final, la pregunta “¿Te fue útil?” con las opciones “Sí” / “No” — su respuesta ayuda al CAE a saber qué contenidos son realmente útiles, de forma anónima.</w:t>
      </w:r>
    </w:p>
    <w:p>
      <w:pPr>
        <w:pStyle w:val="ListParagraph"/>
        <w:numPr>
          <w:ilvl w:val="0"/>
          <w:numId w:val="5"/>
        </w:numPr>
        <w:spacing w:after="80" w:line="276"/>
      </w:pPr>
      <w:r>
        <w:rPr>
          <w:sz w:val="22"/>
          <w:szCs w:val="22"/>
        </w:rPr>
        <w:t xml:space="preserve">Dos enlaces rápidos al final: “Hacer la autoorientación →” y “Necesito ayuda urgente →”.</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Algunos títulos incluyen la palabra “(ejemplo)” o mencionan expresamente que es contenido de demostración.</w:t>
            </w:r>
          </w:p>
          <w:p>
            <w:pPr>
              <w:spacing w:after="0"/>
            </w:pPr>
            <w:r>
              <w:rPr>
                <w:sz w:val="21"/>
                <w:szCs w:val="21"/>
              </w:rPr>
              <w:t xml:space="preserve">Esos artículos existen para mostrar cómo se ve el portal con contenido real cargado, y lo aclaran en su propio texto; no describen un evento, cifra o fecha oficial de la universidad.</w:t>
            </w:r>
          </w:p>
        </w:tc>
      </w:tr>
    </w:tbl>
    <w:p>
      <w:pPr>
        <w:pStyle w:val="Heading1"/>
        <w:pageBreakBefore/>
        <w:pBdr>
          <w:bottom w:val="single" w:color="2E7D32" w:sz="6" w:space="4"/>
        </w:pBdr>
        <w:spacing w:after="200" w:before="420"/>
      </w:pPr>
      <w:r>
        <w:rPr>
          <w:b/>
          <w:bCs/>
          <w:color w:val="1B5E20"/>
          <w:sz w:val="30"/>
          <w:szCs w:val="30"/>
        </w:rPr>
        <w:t xml:space="preserve">4. Consultar Rutas institucionales</w:t>
      </w:r>
    </w:p>
    <w:p>
      <w:pPr>
        <w:spacing w:after="160" w:line="276"/>
      </w:pPr>
      <w:r>
        <w:rPr>
          <w:sz w:val="22"/>
          <w:szCs w:val="22"/>
        </w:rPr>
        <w:t xml:space="preserve">“Rutas y contactos” le indica a dónde acudir según su situación: por ejemplo, una asesoría psicológica con Bienestar Institucional, una tutoría académica, o una línea de emergencia.</w:t>
      </w:r>
    </w:p>
    <w:p>
      <w:pPr>
        <w:pStyle w:val="Heading2"/>
        <w:spacing w:after="140" w:before="320"/>
      </w:pPr>
      <w:r>
        <w:rPr>
          <w:b/>
          <w:bCs/>
          <w:color w:val="2E7D32"/>
          <w:sz w:val="24"/>
          <w:szCs w:val="24"/>
        </w:rPr>
        <w:t xml:space="preserve">4.1 Qué muestra cada tarjeta de ruta</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400"/>
        <w:gridCol w:w="6960"/>
      </w:tblGrid>
      <w:tr>
        <w:trPr>
          <w:tblHeader/>
        </w:trPr>
        <w:tc>
          <w:tcPr>
            <w:tcW w:type="dxa" w:w="2400"/>
            <w:shd w:fill="E8F5E9" w:color="auto" w:val="clear"/>
            <w:tcMar>
              <w:top w:type="dxa" w:w="90"/>
              <w:left w:type="dxa" w:w="120"/>
              <w:bottom w:type="dxa" w:w="90"/>
              <w:right w:type="dxa" w:w="120"/>
            </w:tcMar>
          </w:tcPr>
          <w:p>
            <w:r>
              <w:rPr>
                <w:b/>
                <w:bCs/>
                <w:sz w:val="21"/>
                <w:szCs w:val="21"/>
              </w:rPr>
              <w:t xml:space="preserve">Elemento</w:t>
            </w:r>
          </w:p>
        </w:tc>
        <w:tc>
          <w:tcPr>
            <w:tcW w:type="dxa" w:w="6960"/>
            <w:shd w:fill="E8F5E9" w:color="auto" w:val="clear"/>
            <w:tcMar>
              <w:top w:type="dxa" w:w="90"/>
              <w:left w:type="dxa" w:w="120"/>
              <w:bottom w:type="dxa" w:w="90"/>
              <w:right w:type="dxa" w:w="120"/>
            </w:tcMar>
          </w:tcPr>
          <w:p>
            <w:r>
              <w:rPr>
                <w:b/>
                <w:bCs/>
                <w:sz w:val="21"/>
                <w:szCs w:val="21"/>
              </w:rPr>
              <w:t xml:space="preserve">Qué es</w:t>
            </w:r>
          </w:p>
        </w:tc>
      </w:tr>
      <w:tr>
        <w:tc>
          <w:tcPr>
            <w:tcW w:type="dxa" w:w="2400"/>
            <w:tcMar>
              <w:top w:type="dxa" w:w="90"/>
              <w:left w:type="dxa" w:w="120"/>
              <w:bottom w:type="dxa" w:w="90"/>
              <w:right w:type="dxa" w:w="120"/>
            </w:tcMar>
          </w:tcPr>
          <w:p>
            <w:pPr>
              <w:spacing w:after="40"/>
            </w:pPr>
            <w:r>
              <w:rPr>
                <w:sz w:val="21"/>
                <w:szCs w:val="21"/>
              </w:rPr>
              <w:t xml:space="preserve">Nombre y Dependencia</w:t>
            </w:r>
          </w:p>
        </w:tc>
        <w:tc>
          <w:tcPr>
            <w:tcW w:type="dxa" w:w="6960"/>
            <w:tcMar>
              <w:top w:type="dxa" w:w="90"/>
              <w:left w:type="dxa" w:w="120"/>
              <w:bottom w:type="dxa" w:w="90"/>
              <w:right w:type="dxa" w:w="120"/>
            </w:tcMar>
          </w:tcPr>
          <w:p>
            <w:pPr>
              <w:spacing w:after="40"/>
            </w:pPr>
            <w:r>
              <w:rPr>
                <w:sz w:val="21"/>
                <w:szCs w:val="21"/>
              </w:rPr>
              <w:t xml:space="preserve">El nombre de la ruta y la oficina o entidad responsable.</w:t>
            </w:r>
          </w:p>
        </w:tc>
      </w:tr>
      <w:tr>
        <w:tc>
          <w:tcPr>
            <w:tcW w:type="dxa" w:w="2400"/>
            <w:tcMar>
              <w:top w:type="dxa" w:w="90"/>
              <w:left w:type="dxa" w:w="120"/>
              <w:bottom w:type="dxa" w:w="90"/>
              <w:right w:type="dxa" w:w="120"/>
            </w:tcMar>
          </w:tcPr>
          <w:p>
            <w:pPr>
              <w:spacing w:after="40"/>
            </w:pPr>
            <w:r>
              <w:rPr>
                <w:sz w:val="21"/>
                <w:szCs w:val="21"/>
              </w:rPr>
              <w:t xml:space="preserve">Insignia “Urgente”</w:t>
            </w:r>
          </w:p>
        </w:tc>
        <w:tc>
          <w:tcPr>
            <w:tcW w:type="dxa" w:w="6960"/>
            <w:tcMar>
              <w:top w:type="dxa" w:w="90"/>
              <w:left w:type="dxa" w:w="120"/>
              <w:bottom w:type="dxa" w:w="90"/>
              <w:right w:type="dxa" w:w="120"/>
            </w:tcMar>
          </w:tcPr>
          <w:p>
            <w:pPr>
              <w:spacing w:after="40"/>
            </w:pPr>
            <w:r>
              <w:rPr>
                <w:sz w:val="21"/>
                <w:szCs w:val="21"/>
              </w:rPr>
              <w:t xml:space="preserve">Aparece junto al nombre cuando esa ruta es para situaciones de emergencia (por ejemplo, la Línea 123).</w:t>
            </w:r>
          </w:p>
        </w:tc>
      </w:tr>
      <w:tr>
        <w:tc>
          <w:tcPr>
            <w:tcW w:type="dxa" w:w="2400"/>
            <w:tcMar>
              <w:top w:type="dxa" w:w="90"/>
              <w:left w:type="dxa" w:w="120"/>
              <w:bottom w:type="dxa" w:w="90"/>
              <w:right w:type="dxa" w:w="120"/>
            </w:tcMar>
          </w:tcPr>
          <w:p>
            <w:pPr>
              <w:spacing w:after="40"/>
            </w:pPr>
            <w:r>
              <w:rPr>
                <w:sz w:val="21"/>
                <w:szCs w:val="21"/>
              </w:rPr>
              <w:t xml:space="preserve">Horario</w:t>
            </w:r>
          </w:p>
        </w:tc>
        <w:tc>
          <w:tcPr>
            <w:tcW w:type="dxa" w:w="6960"/>
            <w:tcMar>
              <w:top w:type="dxa" w:w="90"/>
              <w:left w:type="dxa" w:w="120"/>
              <w:bottom w:type="dxa" w:w="90"/>
              <w:right w:type="dxa" w:w="120"/>
            </w:tcMar>
          </w:tcPr>
          <w:p>
            <w:pPr>
              <w:spacing w:after="40"/>
            </w:pPr>
            <w:r>
              <w:rPr>
                <w:sz w:val="21"/>
                <w:szCs w:val="21"/>
              </w:rPr>
              <w:t xml:space="preserve">El horario de atención de esa ruta.</w:t>
            </w:r>
          </w:p>
        </w:tc>
      </w:tr>
      <w:tr>
        <w:tc>
          <w:tcPr>
            <w:tcW w:type="dxa" w:w="2400"/>
            <w:tcMar>
              <w:top w:type="dxa" w:w="90"/>
              <w:left w:type="dxa" w:w="120"/>
              <w:bottom w:type="dxa" w:w="90"/>
              <w:right w:type="dxa" w:w="120"/>
            </w:tcMar>
          </w:tcPr>
          <w:p>
            <w:pPr>
              <w:spacing w:after="40"/>
            </w:pPr>
            <w:r>
              <w:rPr>
                <w:sz w:val="21"/>
                <w:szCs w:val="21"/>
              </w:rPr>
              <w:t xml:space="preserve">“Cómo contactar”</w:t>
            </w:r>
          </w:p>
        </w:tc>
        <w:tc>
          <w:tcPr>
            <w:tcW w:type="dxa" w:w="6960"/>
            <w:tcMar>
              <w:top w:type="dxa" w:w="90"/>
              <w:left w:type="dxa" w:w="120"/>
              <w:bottom w:type="dxa" w:w="90"/>
              <w:right w:type="dxa" w:w="120"/>
            </w:tcMar>
          </w:tcPr>
          <w:p>
            <w:pPr>
              <w:spacing w:after="40"/>
            </w:pPr>
            <w:r>
              <w:rPr>
                <w:sz w:val="21"/>
                <w:szCs w:val="21"/>
              </w:rPr>
              <w:t xml:space="preserve">El canal directo de contacto — ver sección 4.2.</w:t>
            </w:r>
          </w:p>
        </w:tc>
      </w:tr>
      <w:tr>
        <w:tc>
          <w:tcPr>
            <w:tcW w:type="dxa" w:w="2400"/>
            <w:tcMar>
              <w:top w:type="dxa" w:w="90"/>
              <w:left w:type="dxa" w:w="120"/>
              <w:bottom w:type="dxa" w:w="90"/>
              <w:right w:type="dxa" w:w="120"/>
            </w:tcMar>
          </w:tcPr>
          <w:p>
            <w:pPr>
              <w:spacing w:after="40"/>
            </w:pPr>
            <w:r>
              <w:rPr>
                <w:sz w:val="21"/>
                <w:szCs w:val="21"/>
              </w:rPr>
              <w:t xml:space="preserve">“Paso a paso”</w:t>
            </w:r>
          </w:p>
        </w:tc>
        <w:tc>
          <w:tcPr>
            <w:tcW w:type="dxa" w:w="6960"/>
            <w:tcMar>
              <w:top w:type="dxa" w:w="90"/>
              <w:left w:type="dxa" w:w="120"/>
              <w:bottom w:type="dxa" w:w="90"/>
              <w:right w:type="dxa" w:w="120"/>
            </w:tcMar>
          </w:tcPr>
          <w:p>
            <w:pPr>
              <w:spacing w:after="40"/>
            </w:pPr>
            <w:r>
              <w:rPr>
                <w:sz w:val="21"/>
                <w:szCs w:val="21"/>
              </w:rPr>
              <w:t xml:space="preserve">Si la ruta lo tiene, una lista numerada de los pasos a seguir — ver sección 4.3.</w:t>
            </w:r>
          </w:p>
        </w:tc>
      </w:tr>
      <w:tr>
        <w:tc>
          <w:tcPr>
            <w:tcW w:type="dxa" w:w="2400"/>
            <w:tcMar>
              <w:top w:type="dxa" w:w="90"/>
              <w:left w:type="dxa" w:w="120"/>
              <w:bottom w:type="dxa" w:w="90"/>
              <w:right w:type="dxa" w:w="120"/>
            </w:tcMar>
          </w:tcPr>
          <w:p>
            <w:pPr>
              <w:spacing w:after="40"/>
            </w:pPr>
            <w:r>
              <w:rPr>
                <w:sz w:val="21"/>
                <w:szCs w:val="21"/>
              </w:rPr>
              <w:t xml:space="preserve">“¿Te fue útil?”</w:t>
            </w:r>
          </w:p>
        </w:tc>
        <w:tc>
          <w:tcPr>
            <w:tcW w:type="dxa" w:w="6960"/>
            <w:tcMar>
              <w:top w:type="dxa" w:w="90"/>
              <w:left w:type="dxa" w:w="120"/>
              <w:bottom w:type="dxa" w:w="90"/>
              <w:right w:type="dxa" w:w="120"/>
            </w:tcMar>
          </w:tcPr>
          <w:p>
            <w:pPr>
              <w:spacing w:after="40"/>
            </w:pPr>
            <w:r>
              <w:rPr>
                <w:sz w:val="21"/>
                <w:szCs w:val="21"/>
              </w:rPr>
              <w:t xml:space="preserve">La misma pregunta Sí/No que en los Contenidos.</w:t>
            </w:r>
          </w:p>
        </w:tc>
      </w:tr>
      <w:tr>
        <w:tc>
          <w:tcPr>
            <w:tcW w:type="dxa" w:w="2400"/>
            <w:tcMar>
              <w:top w:type="dxa" w:w="90"/>
              <w:left w:type="dxa" w:w="120"/>
              <w:bottom w:type="dxa" w:w="90"/>
              <w:right w:type="dxa" w:w="120"/>
            </w:tcMar>
          </w:tcPr>
          <w:p>
            <w:pPr>
              <w:spacing w:after="40"/>
            </w:pPr>
            <w:r>
              <w:rPr>
                <w:sz w:val="21"/>
                <w:szCs w:val="21"/>
              </w:rPr>
              <w:t xml:space="preserve">“Última revisión”</w:t>
            </w:r>
          </w:p>
        </w:tc>
        <w:tc>
          <w:tcPr>
            <w:tcW w:type="dxa" w:w="6960"/>
            <w:tcMar>
              <w:top w:type="dxa" w:w="90"/>
              <w:left w:type="dxa" w:w="120"/>
              <w:bottom w:type="dxa" w:w="90"/>
              <w:right w:type="dxa" w:w="120"/>
            </w:tcMar>
          </w:tcPr>
          <w:p>
            <w:pPr>
              <w:spacing w:after="40"/>
            </w:pPr>
            <w:r>
              <w:rPr>
                <w:sz w:val="21"/>
                <w:szCs w:val="21"/>
              </w:rPr>
              <w:t xml:space="preserve">La fecha en que el CAE actualizó por última vez esa información.</w:t>
            </w:r>
          </w:p>
        </w:tc>
      </w:tr>
    </w:tbl>
    <w:p>
      <w:pPr>
        <w:pStyle w:val="Heading2"/>
        <w:spacing w:after="140" w:before="320"/>
      </w:pPr>
      <w:r>
        <w:rPr>
          <w:b/>
          <w:bCs/>
          <w:color w:val="2E7D32"/>
          <w:sz w:val="24"/>
          <w:szCs w:val="24"/>
        </w:rPr>
        <w:t xml:space="preserve">4.2 “Cómo contactar” — el canal directo</w:t>
      </w:r>
    </w:p>
    <w:p>
      <w:pPr>
        <w:spacing w:after="160" w:line="276"/>
      </w:pPr>
      <w:r>
        <w:rPr>
          <w:sz w:val="22"/>
          <w:szCs w:val="22"/>
        </w:rPr>
        <w:t xml:space="preserve">Según el tipo de contacto que tenga cada ruta, el portal muestra botones distintos, siempre con el dato a la vista (nunca hay que adivinarlo ni copiarlo de un texto largo):</w:t>
      </w:r>
    </w:p>
    <w:p>
      <w:pPr>
        <w:pStyle w:val="ListParagraph"/>
        <w:numPr>
          <w:ilvl w:val="0"/>
          <w:numId w:val="6"/>
        </w:numPr>
        <w:spacing w:after="80" w:line="276"/>
      </w:pPr>
      <w:r>
        <w:rPr>
          <w:sz w:val="22"/>
          <w:szCs w:val="22"/>
        </w:rPr>
        <w:t xml:space="preserve">Si el contacto es un correo: se muestra la dirección completa, con los botones “Copiar correo”, “Escribir en Gmail” y “Usar mi app de correo”.</w:t>
      </w:r>
    </w:p>
    <w:p>
      <w:pPr>
        <w:pStyle w:val="ListParagraph"/>
        <w:numPr>
          <w:ilvl w:val="0"/>
          <w:numId w:val="6"/>
        </w:numPr>
        <w:spacing w:after="80" w:line="276"/>
      </w:pPr>
      <w:r>
        <w:rPr>
          <w:sz w:val="22"/>
          <w:szCs w:val="22"/>
        </w:rPr>
        <w:t xml:space="preserve">Si el contacto es un teléfono: se muestra el número, con los botones “Llamar” (funciona desde el celular) y “Copiar número”.</w:t>
      </w:r>
    </w:p>
    <w:p>
      <w:pPr>
        <w:pStyle w:val="Heading2"/>
        <w:spacing w:after="140" w:before="320"/>
      </w:pPr>
      <w:r>
        <w:rPr>
          <w:b/>
          <w:bCs/>
          <w:color w:val="2E7D32"/>
          <w:sz w:val="24"/>
          <w:szCs w:val="24"/>
        </w:rPr>
        <w:t xml:space="preserve">4.3 “Paso a paso”</w:t>
      </w:r>
    </w:p>
    <w:p>
      <w:pPr>
        <w:spacing w:after="160" w:line="276"/>
      </w:pPr>
      <w:r>
        <w:rPr>
          <w:sz w:val="22"/>
          <w:szCs w:val="22"/>
        </w:rPr>
        <w:t xml:space="preserve">Algunas rutas (por ejemplo, “Cómo solicitar una tutoría académica”) incluyen una guía numerada, paso por paso, de cómo completar el trámite — cada paso tiene un título, una explicación breve y, si aplica, una imagen que también se puede tocar para verla en tamaño completo.</w:t>
      </w:r>
    </w:p>
    <w:p>
      <w:pPr>
        <w:pStyle w:val="Heading2"/>
        <w:spacing w:after="140" w:before="320"/>
      </w:pPr>
      <w:r>
        <w:rPr>
          <w:b/>
          <w:bCs/>
          <w:color w:val="2E7D32"/>
          <w:sz w:val="24"/>
          <w:szCs w:val="24"/>
        </w:rPr>
        <w:t xml:space="preserve">4.4 Otros contactos</w:t>
      </w:r>
    </w:p>
    <w:p>
      <w:pPr>
        <w:spacing w:after="160" w:line="276"/>
      </w:pPr>
      <w:r>
        <w:rPr>
          <w:sz w:val="22"/>
          <w:szCs w:val="22"/>
        </w:rPr>
        <w:t xml:space="preserve">Al final de la lista de Rutas hay una sección “Otros contactos” con directorios adicionales que el CAE haya publicado (si todavía no hay ninguno, el portal lo indica con el mensaje “Aún no hay contactos publicados”).</w:t>
      </w:r>
    </w:p>
    <w:p>
      <w:pPr>
        <w:spacing w:after="160" w:line="276"/>
      </w:pPr>
      <w:r>
        <w:rPr>
          <w:sz w:val="22"/>
          <w:szCs w:val="22"/>
        </w:rPr>
        <w:t xml:space="preserve">Al final de toda la página, un enlace fijo pregunta “¿Es una situación urgente?” y lleva directo a la información de la sección 6.</w:t>
      </w:r>
    </w:p>
    <w:p>
      <w:pPr>
        <w:pStyle w:val="Heading1"/>
        <w:pageBreakBefore/>
        <w:pBdr>
          <w:bottom w:val="single" w:color="2E7D32" w:sz="6" w:space="4"/>
        </w:pBdr>
        <w:spacing w:after="200" w:before="420"/>
      </w:pPr>
      <w:r>
        <w:rPr>
          <w:b/>
          <w:bCs/>
          <w:color w:val="1B5E20"/>
          <w:sz w:val="30"/>
          <w:szCs w:val="30"/>
        </w:rPr>
        <w:t xml:space="preserve">5. Hacer la autoorientación</w:t>
      </w:r>
    </w:p>
    <w:p>
      <w:pPr>
        <w:spacing w:after="160" w:line="276"/>
      </w:pPr>
      <w:r>
        <w:rPr>
          <w:sz w:val="22"/>
          <w:szCs w:val="22"/>
        </w:rPr>
        <w:t xml:space="preserve">La autoorientación es un cuestionario breve y completamente anónimo: no pide su nombre ni ningún dato personal, y el portal no guarda sus respuestas en ningún lugar.</w:t>
      </w:r>
    </w:p>
    <w:p>
      <w:pPr>
        <w:pStyle w:val="Heading2"/>
        <w:spacing w:after="140" w:before="320"/>
      </w:pPr>
      <w:r>
        <w:rPr>
          <w:b/>
          <w:bCs/>
          <w:color w:val="2E7D32"/>
          <w:sz w:val="24"/>
          <w:szCs w:val="24"/>
        </w:rPr>
        <w:t xml:space="preserve">5.1 Elegir un tema</w:t>
      </w:r>
    </w:p>
    <w:p>
      <w:pPr>
        <w:spacing w:after="160" w:line="276"/>
      </w:pPr>
      <w:r>
        <w:rPr>
          <w:sz w:val="22"/>
          <w:szCs w:val="22"/>
        </w:rPr>
        <w:t xml:space="preserve">En “Autoorientación” ve la lista de cuestionarios disponibles (por ejemplo, sobre estrés académico o hábitos de sueño). Toque “Comenzar” en el que le interese.</w:t>
      </w:r>
    </w:p>
    <w:p>
      <w:pPr>
        <w:pStyle w:val="Heading2"/>
        <w:spacing w:after="140" w:before="320"/>
      </w:pPr>
      <w:r>
        <w:rPr>
          <w:b/>
          <w:bCs/>
          <w:color w:val="2E7D32"/>
          <w:sz w:val="24"/>
          <w:szCs w:val="24"/>
        </w:rPr>
        <w:t xml:space="preserve">5.2 El aviso previo</w:t>
      </w:r>
    </w:p>
    <w:p>
      <w:pPr>
        <w:spacing w:after="160" w:line="276"/>
      </w:pPr>
      <w:r>
        <w:rPr>
          <w:sz w:val="22"/>
          <w:szCs w:val="22"/>
        </w:rPr>
        <w:t xml:space="preserve">Antes de empezar, el portal muestra siempre un aviso: que la autoorientación es una herramienta de reflexión personal y anónima, que no guarda sus respuestas, que no genera un diagnóstico y que no reemplaza la atención de un profesional.</w:t>
      </w:r>
    </w:p>
    <w:p>
      <w:pPr>
        <w:pStyle w:val="ListParagraph"/>
        <w:numPr>
          <w:ilvl w:val="0"/>
          <w:numId w:val="7"/>
        </w:numPr>
        <w:spacing w:after="140" w:line="276"/>
      </w:pPr>
      <w:r>
        <w:rPr>
          <w:sz w:val="22"/>
          <w:szCs w:val="22"/>
        </w:rPr>
        <w:t xml:space="preserve">Lea el aviso.</w:t>
      </w:r>
    </w:p>
    <w:p>
      <w:pPr>
        <w:pStyle w:val="ListParagraph"/>
        <w:numPr>
          <w:ilvl w:val="0"/>
          <w:numId w:val="7"/>
        </w:numPr>
        <w:spacing w:after="140" w:line="276"/>
      </w:pPr>
      <w:r>
        <w:rPr>
          <w:sz w:val="22"/>
          <w:szCs w:val="22"/>
        </w:rPr>
        <w:t xml:space="preserve">Marque la casilla “He leído y entiendo este aviso”.</w:t>
      </w:r>
    </w:p>
    <w:p>
      <w:pPr>
        <w:pStyle w:val="ListParagraph"/>
        <w:numPr>
          <w:ilvl w:val="0"/>
          <w:numId w:val="7"/>
        </w:numPr>
        <w:spacing w:after="140" w:line="276"/>
      </w:pPr>
      <w:r>
        <w:rPr>
          <w:sz w:val="22"/>
          <w:szCs w:val="22"/>
        </w:rPr>
        <w:t xml:space="preserve">Toque “Comenzar” (o “Cancelar” si prefiere no continuar).</w:t>
      </w:r>
    </w:p>
    <w:p>
      <w:pPr>
        <w:pStyle w:val="Heading2"/>
        <w:spacing w:after="140" w:before="320"/>
      </w:pPr>
      <w:r>
        <w:rPr>
          <w:b/>
          <w:bCs/>
          <w:color w:val="2E7D32"/>
          <w:sz w:val="24"/>
          <w:szCs w:val="24"/>
        </w:rPr>
        <w:t xml:space="preserve">5.3 Responder el cuestionario</w:t>
      </w:r>
    </w:p>
    <w:p>
      <w:pPr>
        <w:spacing w:after="160" w:line="276"/>
      </w:pPr>
      <w:r>
        <w:rPr>
          <w:sz w:val="22"/>
          <w:szCs w:val="22"/>
        </w:rPr>
        <w:t xml:space="preserve">Cada pregunta aparece en su propia pantalla, con una barra de progreso arriba que muestra cuánto falta. Elija una opción (por ejemplo, “Nunca” / “A veces” / “Frecuentemente”) y toque “Siguiente” para pasar a la próxima pregunta — el portal no deja avanzar sin responder la pregunta actual. El botón “Atrás” vuelve a la pregunta anterior sin perder las respuestas ya dadas. En la última pregunta, “Siguiente” cambia por “Ver mi resultado”.</w:t>
      </w:r>
    </w:p>
    <w:p>
      <w:pPr>
        <w:pStyle w:val="Heading2"/>
        <w:spacing w:after="140" w:before="320"/>
      </w:pPr>
      <w:r>
        <w:rPr>
          <w:b/>
          <w:bCs/>
          <w:color w:val="2E7D32"/>
          <w:sz w:val="24"/>
          <w:szCs w:val="24"/>
        </w:rPr>
        <w:t xml:space="preserve">5.4 La pantalla de resultado</w:t>
      </w:r>
    </w:p>
    <w:p>
      <w:pPr>
        <w:spacing w:after="160" w:line="276"/>
      </w:pPr>
      <w:r>
        <w:rPr>
          <w:sz w:val="22"/>
          <w:szCs w:val="22"/>
        </w:rPr>
        <w:t xml:space="preserve">El portal muestra de inmediato:</w:t>
      </w:r>
    </w:p>
    <w:p>
      <w:pPr>
        <w:pStyle w:val="ListParagraph"/>
        <w:numPr>
          <w:ilvl w:val="0"/>
          <w:numId w:val="8"/>
        </w:numPr>
        <w:spacing w:after="80" w:line="276"/>
      </w:pPr>
      <w:r>
        <w:rPr>
          <w:sz w:val="22"/>
          <w:szCs w:val="22"/>
        </w:rPr>
        <w:t xml:space="preserve">Un nivel de resultado orientativo (por ejemplo, “Alto”), con una explicación breve.</w:t>
      </w:r>
    </w:p>
    <w:p>
      <w:pPr>
        <w:pStyle w:val="ListParagraph"/>
        <w:numPr>
          <w:ilvl w:val="0"/>
          <w:numId w:val="8"/>
        </w:numPr>
        <w:spacing w:after="80" w:line="276"/>
      </w:pPr>
      <w:r>
        <w:rPr>
          <w:sz w:val="22"/>
          <w:szCs w:val="22"/>
        </w:rPr>
        <w:t xml:space="preserve">Un aviso recordando que el resultado no es un diagnóstico ni una valoración clínica.</w:t>
      </w:r>
    </w:p>
    <w:p>
      <w:pPr>
        <w:pStyle w:val="ListParagraph"/>
        <w:numPr>
          <w:ilvl w:val="0"/>
          <w:numId w:val="8"/>
        </w:numPr>
        <w:spacing w:after="80" w:line="276"/>
      </w:pPr>
      <w:r>
        <w:rPr>
          <w:sz w:val="22"/>
          <w:szCs w:val="22"/>
        </w:rPr>
        <w:t xml:space="preserve">Recomendaciones de texto relacionadas con ese resultado.</w:t>
      </w:r>
    </w:p>
    <w:p>
      <w:pPr>
        <w:pStyle w:val="ListParagraph"/>
        <w:numPr>
          <w:ilvl w:val="0"/>
          <w:numId w:val="8"/>
        </w:numPr>
        <w:spacing w:after="80" w:line="276"/>
      </w:pPr>
      <w:r>
        <w:rPr>
          <w:sz w:val="22"/>
          <w:szCs w:val="22"/>
        </w:rPr>
        <w:t xml:space="preserve">Las Rutas institucionales sugeridas para ese nivel, con el mismo botón de contacto directo descrito en la sección 4.2.</w:t>
      </w:r>
    </w:p>
    <w:p>
      <w:pPr>
        <w:pStyle w:val="ListParagraph"/>
        <w:numPr>
          <w:ilvl w:val="0"/>
          <w:numId w:val="8"/>
        </w:numPr>
        <w:spacing w:after="80" w:line="276"/>
      </w:pPr>
      <w:r>
        <w:rPr>
          <w:sz w:val="22"/>
          <w:szCs w:val="22"/>
        </w:rPr>
        <w:t xml:space="preserve">Si el nivel lo amerita, un aviso de ayuda urgente con la línea 123 y un enlace directo a “Información urgente”.</w:t>
      </w:r>
    </w:p>
    <w:p>
      <w:pPr>
        <w:pStyle w:val="ListParagraph"/>
        <w:numPr>
          <w:ilvl w:val="0"/>
          <w:numId w:val="8"/>
        </w:numPr>
        <w:spacing w:after="80" w:line="276"/>
      </w:pPr>
      <w:r>
        <w:rPr>
          <w:sz w:val="22"/>
          <w:szCs w:val="22"/>
        </w:rPr>
        <w:t xml:space="preserve">Al final, tres botones: “Volver a empezar”, “Imprimir” (para guardar o entregar el resultado en papel) e “Ir al inicio”.</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El propio portal lo confirma al final de la pantalla de resultado: “Este resultado no se guardó en ningún lugar”.</w:t>
            </w:r>
          </w:p>
          <w:p>
            <w:pPr>
              <w:spacing w:after="0"/>
            </w:pPr>
            <w:r>
              <w:rPr>
                <w:sz w:val="21"/>
                <w:szCs w:val="21"/>
              </w:rPr>
              <w:t xml:space="preserve">Si sale de esa pantalla sin usar “Imprimir”, el resultado se pierde — es intencional, por el anonimato de la herramienta, y no es un error.</w:t>
            </w:r>
          </w:p>
        </w:tc>
      </w:tr>
    </w:tbl>
    <w:p>
      <w:pPr>
        <w:pStyle w:val="Heading1"/>
        <w:pageBreakBefore/>
        <w:pBdr>
          <w:bottom w:val="single" w:color="2E7D32" w:sz="6" w:space="4"/>
        </w:pBdr>
        <w:spacing w:after="200" w:before="420"/>
      </w:pPr>
      <w:r>
        <w:rPr>
          <w:b/>
          <w:bCs/>
          <w:color w:val="1B5E20"/>
          <w:sz w:val="30"/>
          <w:szCs w:val="30"/>
        </w:rPr>
        <w:t xml:space="preserve">6. Información urgente y canal institucional</w:t>
      </w:r>
    </w:p>
    <w:p>
      <w:pPr>
        <w:spacing w:after="160" w:line="276"/>
      </w:pPr>
      <w:r>
        <w:rPr>
          <w:sz w:val="22"/>
          <w:szCs w:val="22"/>
        </w:rPr>
        <w:t xml:space="preserve">El portal pone la ayuda urgente a un clic de distancia desde casi cualquier pantalla: un enlace “Necesito ayuda urgente →” o “¿Es una situación urgente?” aparece en la portada, en los Contenidos, en las Rutas y en la autoorientación.</w:t>
      </w:r>
    </w:p>
    <w:p>
      <w:pPr>
        <w:spacing w:after="160" w:line="276"/>
      </w:pPr>
      <w:r>
        <w:rPr>
          <w:sz w:val="22"/>
          <w:szCs w:val="22"/>
        </w:rPr>
        <w:t xml:space="preserve">La página “Urgencias” (o “Información urgente”) muestra siempre:</w:t>
      </w:r>
    </w:p>
    <w:p>
      <w:pPr>
        <w:pStyle w:val="ListParagraph"/>
        <w:numPr>
          <w:ilvl w:val="0"/>
          <w:numId w:val="9"/>
        </w:numPr>
        <w:spacing w:after="80" w:line="276"/>
      </w:pPr>
      <w:r>
        <w:rPr>
          <w:sz w:val="22"/>
          <w:szCs w:val="22"/>
        </w:rPr>
        <w:t xml:space="preserve">Un aviso directo: si usted o alguien más está en peligro inmediato, comunicarse ya con la línea de emergencias 123 o acudir al servicio de urgencias más cercano.</w:t>
      </w:r>
    </w:p>
    <w:p>
      <w:pPr>
        <w:pStyle w:val="ListParagraph"/>
        <w:numPr>
          <w:ilvl w:val="0"/>
          <w:numId w:val="9"/>
        </w:numPr>
        <w:spacing w:after="80" w:line="276"/>
      </w:pPr>
      <w:r>
        <w:rPr>
          <w:sz w:val="22"/>
          <w:szCs w:val="22"/>
        </w:rPr>
        <w:t xml:space="preserve">Un botón “Escribir al canal de orientación UTS” — el canal institucional configurado por el CAE, con el mismo tipo de botón directo (copiar, llamar o escribir) descrito en la sección 4.2.</w:t>
      </w:r>
    </w:p>
    <w:p>
      <w:pPr>
        <w:pStyle w:val="ListParagraph"/>
        <w:numPr>
          <w:ilvl w:val="0"/>
          <w:numId w:val="9"/>
        </w:numPr>
        <w:spacing w:after="80" w:line="276"/>
      </w:pPr>
      <w:r>
        <w:rPr>
          <w:sz w:val="22"/>
          <w:szCs w:val="22"/>
        </w:rPr>
        <w:t xml:space="preserve">Si el CAE marcó alguna ruta o contacto como urgente, una sección “Rutas y contactos urgentes” con una tarjeta por cada uno: nombre, dependencia, horario si aplica, el mismo botón de contacto directo de la sección 4.2 y, si es una Ruta con pasos, un enlace para verla completa.</w:t>
      </w:r>
    </w:p>
    <w:p>
      <w:pPr>
        <w:pStyle w:val="ListParagraph"/>
        <w:numPr>
          <w:ilvl w:val="0"/>
          <w:numId w:val="9"/>
        </w:numPr>
        <w:spacing w:after="80" w:line="276"/>
      </w:pPr>
      <w:r>
        <w:rPr>
          <w:sz w:val="22"/>
          <w:szCs w:val="22"/>
        </w:rPr>
        <w:t xml:space="preserve">Un enlace para volver al inicio.</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Esta página no reemplaza una llamada al 123 en una emergencia real. Está pensada para orientar rápido, no para hacer esperar a nadie.</w:t>
            </w:r>
          </w:p>
        </w:tc>
      </w:tr>
    </w:tbl>
    <w:p>
      <w:pPr>
        <w:pStyle w:val="Heading1"/>
        <w:pageBreakBefore/>
        <w:pBdr>
          <w:bottom w:val="single" w:color="2E7D32" w:sz="6" w:space="4"/>
        </w:pBdr>
        <w:spacing w:after="200" w:before="420"/>
      </w:pPr>
      <w:r>
        <w:rPr>
          <w:b/>
          <w:bCs/>
          <w:color w:val="1B5E20"/>
          <w:sz w:val="30"/>
          <w:szCs w:val="30"/>
        </w:rPr>
        <w:t xml:space="preserve">7. Buscar en el portal</w:t>
      </w:r>
    </w:p>
    <w:p>
      <w:pPr>
        <w:spacing w:after="160" w:line="276"/>
      </w:pPr>
      <w:r>
        <w:rPr>
          <w:sz w:val="22"/>
          <w:szCs w:val="22"/>
        </w:rPr>
        <w:t xml:space="preserve">El cuadro “Buscar…” está dentro del menú ☰, disponible en cualquier página. Escriba una palabra o frase y el portal muestra los Contenidos y Rutas que coincidan, agrupados por tipo.</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No hace falta escribir tildes.</w:t>
            </w:r>
          </w:p>
          <w:p>
            <w:pPr>
              <w:spacing w:after="0"/>
            </w:pPr>
            <w:r>
              <w:rPr>
                <w:sz w:val="21"/>
                <w:szCs w:val="21"/>
              </w:rPr>
              <w:t xml:space="preserve">Buscar “estres” encuentra igualmente los artículos sobre “estrés” — la búsqueda no distingue entre letras con tilde y sin tilde, para que un error de tipeo no le impida encontrar lo que busca.</w:t>
            </w:r>
          </w:p>
        </w:tc>
      </w:tr>
    </w:tbl>
    <w:p>
      <w:pPr>
        <w:pStyle w:val="Heading1"/>
        <w:pageBreakBefore/>
        <w:pBdr>
          <w:bottom w:val="single" w:color="2E7D32" w:sz="6" w:space="4"/>
        </w:pBdr>
        <w:spacing w:after="200" w:before="420"/>
      </w:pPr>
      <w:r>
        <w:rPr>
          <w:b/>
          <w:bCs/>
          <w:color w:val="1B5E20"/>
          <w:sz w:val="30"/>
          <w:szCs w:val="30"/>
        </w:rPr>
        <w:t xml:space="preserve">8. Preguntas frecuentes</w:t>
      </w:r>
    </w:p>
    <w:p>
      <w:pPr>
        <w:pStyle w:val="Heading3"/>
        <w:spacing w:after="100" w:before="220"/>
      </w:pPr>
      <w:r>
        <w:rPr>
          <w:b/>
          <w:bCs/>
          <w:color w:val="222222"/>
          <w:sz w:val="22"/>
          <w:szCs w:val="22"/>
        </w:rPr>
        <w:t xml:space="preserve">¿Necesito crear una cuenta para usar el portal?</w:t>
      </w:r>
    </w:p>
    <w:p>
      <w:pPr>
        <w:spacing w:after="160" w:line="276"/>
      </w:pPr>
      <w:r>
        <w:rPr>
          <w:sz w:val="22"/>
          <w:szCs w:val="22"/>
        </w:rPr>
        <w:t xml:space="preserve">No. Todo lo descrito en este manual — Contenidos, Rutas, autoorientación, búsqueda — es de acceso libre, sin registro ni inicio de sesión. “Iniciar sesión” es solo para el personal administrativo del CAE.</w:t>
      </w:r>
    </w:p>
    <w:p>
      <w:pPr>
        <w:pStyle w:val="Heading3"/>
        <w:spacing w:after="100" w:before="220"/>
      </w:pPr>
      <w:r>
        <w:rPr>
          <w:b/>
          <w:bCs/>
          <w:color w:val="222222"/>
          <w:sz w:val="22"/>
          <w:szCs w:val="22"/>
        </w:rPr>
        <w:t xml:space="preserve">¿Se guarda mi resultado de la autoorientación?</w:t>
      </w:r>
    </w:p>
    <w:p>
      <w:pPr>
        <w:spacing w:after="160" w:line="276"/>
      </w:pPr>
      <w:r>
        <w:rPr>
          <w:sz w:val="22"/>
          <w:szCs w:val="22"/>
        </w:rPr>
        <w:t xml:space="preserve">No. El portal lo calcula en el momento y no lo guarda en ningún lugar ni lo asocia a usted de ninguna forma. Si quiere conservarlo, use el botón “Imprimir” antes de salir de esa pantalla.</w:t>
      </w:r>
    </w:p>
    <w:p>
      <w:pPr>
        <w:pStyle w:val="Heading3"/>
        <w:spacing w:after="100" w:before="220"/>
      </w:pPr>
      <w:r>
        <w:rPr>
          <w:b/>
          <w:bCs/>
          <w:color w:val="222222"/>
          <w:sz w:val="22"/>
          <w:szCs w:val="22"/>
        </w:rPr>
        <w:t xml:space="preserve">¿La autoorientación me da un diagnóstico?</w:t>
      </w:r>
    </w:p>
    <w:p>
      <w:pPr>
        <w:spacing w:after="160" w:line="276"/>
      </w:pPr>
      <w:r>
        <w:rPr>
          <w:sz w:val="22"/>
          <w:szCs w:val="22"/>
        </w:rPr>
        <w:t xml:space="preserve">No. Es una herramienta de reflexión orientativa. El propio resultado lo aclara expresamente y lo remite, si hace falta, a las rutas institucionales o a un profesional.</w:t>
      </w:r>
    </w:p>
    <w:p>
      <w:pPr>
        <w:pStyle w:val="Heading3"/>
        <w:spacing w:after="100" w:before="220"/>
      </w:pPr>
      <w:r>
        <w:rPr>
          <w:b/>
          <w:bCs/>
          <w:color w:val="222222"/>
          <w:sz w:val="22"/>
          <w:szCs w:val="22"/>
        </w:rPr>
        <w:t xml:space="preserve">Estoy en una situación urgente ahora mismo, ¿qué hago?</w:t>
      </w:r>
    </w:p>
    <w:p>
      <w:pPr>
        <w:spacing w:after="160" w:line="276"/>
      </w:pPr>
      <w:r>
        <w:rPr>
          <w:sz w:val="22"/>
          <w:szCs w:val="22"/>
        </w:rPr>
        <w:t xml:space="preserve">Vaya directo a “Información urgente” (sección 6 de este manual) o llame a la línea 123. No hace falta pasar por ninguna otra pantalla del portal primero.</w:t>
      </w:r>
    </w:p>
    <w:p>
      <w:pPr>
        <w:pStyle w:val="Heading3"/>
        <w:spacing w:after="100" w:before="220"/>
      </w:pPr>
      <w:r>
        <w:rPr>
          <w:b/>
          <w:bCs/>
          <w:color w:val="222222"/>
          <w:sz w:val="22"/>
          <w:szCs w:val="22"/>
        </w:rPr>
        <w:t xml:space="preserve">¿Por qué algunos contenidos o rutas dicen “(ejemplo)” o “demo”?</w:t>
      </w:r>
    </w:p>
    <w:p>
      <w:pPr>
        <w:spacing w:after="160" w:line="276"/>
      </w:pPr>
      <w:r>
        <w:rPr>
          <w:sz w:val="22"/>
          <w:szCs w:val="22"/>
        </w:rPr>
        <w:t xml:space="preserve">Son artículos y cuestionarios de muestra que el equipo del proyecto dejó publicados para ilustrar cómo se ve el portal con contenido real — cada uno lo aclara en su propio texto y no describe información oficial de la universidad.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9026"/>
      </w:tabs>
    </w:pPr>
    <w:r>
      <w:rPr>
        <w:color w:val="777777"/>
        <w:sz w:val="16"/>
        <w:szCs w:val="16"/>
      </w:rPr>
      <w:t xml:space="preserve">Manual de usuario</w:t>
    </w:r>
    <w:r>
      <w:rPr>
        <w:color w:val="777777"/>
        <w:sz w:val="16"/>
        <w:szCs w:val="16"/>
      </w:rPr>
      <w:t xml:space="preserve">	Portal de orientación psicosocial UTS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90" w:hanging="360"/>
      </w:pPr>
    </w:lvl>
  </w:abstractNum>
  <w:abstractNum w:abstractNumId="3" w15:restartNumberingAfterBreak="0">
    <w:multiLevelType w:val="hybridMultilevel"/>
    <w:lvl w:ilvl="0" w15:tentative="1">
      <w:start w:val="1"/>
      <w:numFmt w:val="bullet"/>
      <w:lvlText w:val="•"/>
      <w:lvlJc w:val="left"/>
      <w:pPr>
        <w:ind w:left="590" w:hanging="360"/>
      </w:pPr>
    </w:lvl>
  </w:abstractNum>
  <w:abstractNum w:abstractNumId="4" w15:restartNumberingAfterBreak="0">
    <w:multiLevelType w:val="hybridMultilevel"/>
    <w:lvl w:ilvl="0" w15:tentative="1">
      <w:start w:val="1"/>
      <w:numFmt w:val="bullet"/>
      <w:lvlText w:val="•"/>
      <w:lvlJc w:val="left"/>
      <w:pPr>
        <w:ind w:left="590" w:hanging="360"/>
      </w:pPr>
    </w:lvl>
  </w:abstractNum>
  <w:abstractNum w:abstractNumId="5" w15:restartNumberingAfterBreak="0">
    <w:multiLevelType w:val="hybridMultilevel"/>
    <w:lvl w:ilvl="0" w15:tentative="1">
      <w:start w:val="1"/>
      <w:numFmt w:val="bullet"/>
      <w:lvlText w:val="•"/>
      <w:lvlJc w:val="left"/>
      <w:pPr>
        <w:ind w:left="590" w:hanging="360"/>
      </w:pPr>
    </w:lvl>
  </w:abstractNum>
  <w:abstractNum w:abstractNumId="6" w15:restartNumberingAfterBreak="0">
    <w:multiLevelType w:val="hybridMultilevel"/>
    <w:lvl w:ilvl="0" w15:tentative="1">
      <w:start w:val="1"/>
      <w:numFmt w:val="bullet"/>
      <w:lvlText w:val="•"/>
      <w:lvlJc w:val="left"/>
      <w:pPr>
        <w:ind w:left="590" w:hanging="360"/>
      </w:pPr>
    </w:lvl>
  </w:abstractNum>
  <w:abstractNum w:abstractNumId="7" w15:restartNumberingAfterBreak="0">
    <w:multiLevelType w:val="hybridMultilevel"/>
    <w:lvl w:ilvl="0" w15:tentative="1">
      <w:start w:val="1"/>
      <w:numFmt w:val="decimal"/>
      <w:lvlText w:val="%1."/>
      <w:lvlJc w:val="left"/>
      <w:pPr>
        <w:ind w:left="590" w:hanging="360"/>
      </w:pPr>
    </w:lvl>
  </w:abstractNum>
  <w:abstractNum w:abstractNumId="8" w15:restartNumberingAfterBreak="0">
    <w:multiLevelType w:val="hybridMultilevel"/>
    <w:lvl w:ilvl="0" w15:tentative="1">
      <w:start w:val="1"/>
      <w:numFmt w:val="bullet"/>
      <w:lvlText w:val="•"/>
      <w:lvlJc w:val="left"/>
      <w:pPr>
        <w:ind w:left="590" w:hanging="360"/>
      </w:pPr>
    </w:lvl>
  </w:abstractNum>
  <w:abstractNum w:abstractNumId="9" w15:restartNumberingAfterBreak="0">
    <w:multiLevelType w:val="hybridMultilevel"/>
    <w:lvl w:ilvl="0" w15:tentative="1">
      <w:start w:val="1"/>
      <w:numFmt w:val="bullet"/>
      <w:lvlText w:val="•"/>
      <w:lvlJc w:val="left"/>
      <w:pPr>
        <w:ind w:left="59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Portal de orientación psicosocial UTS</dc:title>
  <dc:creator>Proyecto de grado 65-2026-015 — Portal de orientación psicosocial UTS</dc:creator>
  <dc:description>Guía paso a paso del portal público para cualquier estudiante o visitante</dc:description>
  <cp:lastModifiedBy>Un-named</cp:lastModifiedBy>
  <cp:revision>1</cp:revision>
  <dcterms:created xsi:type="dcterms:W3CDTF">2026-09-24T07:25:39.125Z</dcterms:created>
  <dcterms:modified xsi:type="dcterms:W3CDTF">2026-09-24T07:25:39.126Z</dcterms:modified>
</cp:coreProperties>
</file>

<file path=docProps/custom.xml><?xml version="1.0" encoding="utf-8"?>
<Properties xmlns="http://schemas.openxmlformats.org/officeDocument/2006/custom-properties" xmlns:vt="http://schemas.openxmlformats.org/officeDocument/2006/docPropsVTypes"/>
</file>