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4CB6" w14:textId="77777777" w:rsidR="00770609" w:rsidRPr="00770609" w:rsidRDefault="00770609" w:rsidP="00770609">
      <w:pPr>
        <w:rPr>
          <w:b/>
          <w:bCs/>
        </w:rPr>
      </w:pPr>
      <w:r w:rsidRPr="00770609">
        <w:rPr>
          <w:b/>
          <w:bCs/>
        </w:rPr>
        <w:t>Fundamentación Técnica: Huertas Urbanas Inteligentes - Un Enfoque de Aprendizaje Basado en Competencias y Tecnologías Digitales</w:t>
      </w:r>
    </w:p>
    <w:p w14:paraId="3A4DDB0B" w14:textId="77777777" w:rsidR="00770609" w:rsidRPr="00770609" w:rsidRDefault="00770609" w:rsidP="00770609">
      <w:pPr>
        <w:rPr>
          <w:b/>
          <w:bCs/>
        </w:rPr>
      </w:pPr>
      <w:r w:rsidRPr="00770609">
        <w:rPr>
          <w:b/>
          <w:bCs/>
        </w:rPr>
        <w:t>1. Introducción y Contextualización del Proyecto</w:t>
      </w:r>
    </w:p>
    <w:p w14:paraId="57D905FE" w14:textId="77777777" w:rsidR="00770609" w:rsidRPr="00770609" w:rsidRDefault="00770609" w:rsidP="00770609">
      <w:r w:rsidRPr="00770609">
        <w:t xml:space="preserve">La convergencia entre la sostenibilidad ambiental y la transformación digital en la educación superior representa un imperativo estratégico para las instituciones que aspiran a una pertinencia social y pedagógica de alto impacto. El proyecto </w:t>
      </w:r>
      <w:r w:rsidRPr="00770609">
        <w:rPr>
          <w:b/>
          <w:bCs/>
        </w:rPr>
        <w:t>"Huertas Urbanas Inteligentes"</w:t>
      </w:r>
      <w:r w:rsidRPr="00770609">
        <w:t xml:space="preserve"> surge no solo como una respuesta técnica a los desafíos globales de seguridad alimentaria, sino como un ecosistema didáctico diseñado para abordar la necesidad de una digitalización con sentido humano y científico. Al situar al estudiante frente a la complejidad de un sistema vivo, esta iniciativa trasciende la mera instrucción botánica para convertirse en un laboratorio de innovación donde la tecnología actúa como mediador fundamental en la resolución de problemas reales y contemporáneos.</w:t>
      </w:r>
    </w:p>
    <w:p w14:paraId="3BC7C8AD" w14:textId="77777777" w:rsidR="00770609" w:rsidRPr="00770609" w:rsidRDefault="00770609" w:rsidP="00770609">
      <w:r w:rsidRPr="00770609">
        <w:t>En el marco de la educación superior, esta propuesta busca superar los modelos de enseñanza fragmentada mediante la implementación de una experiencia de aprendizaje situada y profundamente significativa. El perfil del estudiante universitario actual exige el desarrollo de facultades que le permitan navegar en entornos volátiles y multidisciplinarios; por ello, la huerta urbana se propone como el escenario ideal para vincular la teoría con la praxis. A través de este proyecto, se transforma el aula en un centro de experimentación activa donde el rigor académico se encuentra con la responsabilidad ética frente al entorno.</w:t>
      </w:r>
    </w:p>
    <w:p w14:paraId="7A6A61CC" w14:textId="77777777" w:rsidR="00770609" w:rsidRPr="00770609" w:rsidRDefault="00770609" w:rsidP="00770609">
      <w:r w:rsidRPr="00770609">
        <w:rPr>
          <w:b/>
          <w:bCs/>
        </w:rPr>
        <w:t>Capa del "Qué importa" (</w:t>
      </w:r>
      <w:proofErr w:type="gramStart"/>
      <w:r w:rsidRPr="00770609">
        <w:rPr>
          <w:b/>
          <w:bCs/>
        </w:rPr>
        <w:t xml:space="preserve">So </w:t>
      </w:r>
      <w:proofErr w:type="spellStart"/>
      <w:r w:rsidRPr="00770609">
        <w:rPr>
          <w:b/>
          <w:bCs/>
        </w:rPr>
        <w:t>What</w:t>
      </w:r>
      <w:proofErr w:type="spellEnd"/>
      <w:r w:rsidRPr="00770609">
        <w:rPr>
          <w:b/>
          <w:bCs/>
        </w:rPr>
        <w:t>?</w:t>
      </w:r>
      <w:proofErr w:type="gramEnd"/>
      <w:r w:rsidRPr="00770609">
        <w:rPr>
          <w:b/>
          <w:bCs/>
        </w:rPr>
        <w:t>):</w:t>
      </w:r>
      <w:r w:rsidRPr="00770609">
        <w:t xml:space="preserve"> Esta contextualización establece la base para un cambio de paradigma indispensable: el tránsito del estudiante de un rol de receptor pasivo a uno de agente de cambio ambiental e innovador digital. La relevancia de este enfoque radica en su capacidad para empoderar al futuro profesional como un gestor de soluciones sostenibles, utilizando la tecnología para mitigar la crisis climática. Esta visión fundamenta la arquitectura pedagógica basada en competencias que se detalla a continuación.</w:t>
      </w:r>
    </w:p>
    <w:p w14:paraId="5E36BDDA" w14:textId="77777777" w:rsidR="00770609" w:rsidRPr="00770609" w:rsidRDefault="00770609" w:rsidP="00770609">
      <w:pPr>
        <w:rPr>
          <w:b/>
          <w:bCs/>
        </w:rPr>
      </w:pPr>
      <w:r w:rsidRPr="00770609">
        <w:rPr>
          <w:b/>
          <w:bCs/>
        </w:rPr>
        <w:t>2. Fundamentación del Enfoque por Competencias</w:t>
      </w:r>
    </w:p>
    <w:p w14:paraId="751E4004" w14:textId="77777777" w:rsidR="00770609" w:rsidRPr="00770609" w:rsidRDefault="00770609" w:rsidP="00770609">
      <w:r w:rsidRPr="00770609">
        <w:t xml:space="preserve">El concepto de "competencia", desde la perspectiva de Tobón (2013) y Perrenoud (2004), se define como la capacidad de movilizar integralmente recursos cognitivos, procedimentales y actitudinales para resolver situaciones complejas en contextos diversos. En este proyecto, la competencia se entiende bajo el prisma de la </w:t>
      </w:r>
      <w:r w:rsidRPr="00770609">
        <w:rPr>
          <w:b/>
          <w:bCs/>
        </w:rPr>
        <w:t>socioformación</w:t>
      </w:r>
      <w:r w:rsidRPr="00770609">
        <w:t xml:space="preserve">, donde el aprendizaje no es una acumulación de datos, sino un </w:t>
      </w:r>
      <w:r w:rsidRPr="00770609">
        <w:lastRenderedPageBreak/>
        <w:t>proceso de construcción de conocimiento orientado a la resolución de problemas del contexto real con un fuerte compromiso ético.</w:t>
      </w:r>
    </w:p>
    <w:p w14:paraId="248AC1E8" w14:textId="77777777" w:rsidR="00770609" w:rsidRPr="00770609" w:rsidRDefault="00770609" w:rsidP="00770609">
      <w:r w:rsidRPr="00770609">
        <w:t xml:space="preserve">Bajo el modelo de formación integral propuesto por Tobón (2013), el diseño y evaluación de una huerta inteligente permite el desarrollo del </w:t>
      </w:r>
      <w:r w:rsidRPr="00770609">
        <w:rPr>
          <w:b/>
          <w:bCs/>
        </w:rPr>
        <w:t>pensamiento complejo</w:t>
      </w:r>
      <w:r w:rsidRPr="00770609">
        <w:t>. El estudiante no solo cultiva plantas; gestiona la incertidumbre de un ecosistema biológico mediante el análisis crítico y la toma de decisiones basada en evidencia. A continuación, se estructuran los componentes de este marco competencial:</w:t>
      </w:r>
    </w:p>
    <w:p w14:paraId="7A3D9CD9" w14:textId="77777777" w:rsidR="00770609" w:rsidRPr="00770609" w:rsidRDefault="00770609" w:rsidP="00770609">
      <w:pPr>
        <w:rPr>
          <w:b/>
          <w:bCs/>
        </w:rPr>
      </w:pPr>
      <w:r w:rsidRPr="00770609">
        <w:rPr>
          <w:b/>
          <w:bCs/>
        </w:rPr>
        <w:t>Competencia General</w:t>
      </w:r>
    </w:p>
    <w:p w14:paraId="28B71A2F" w14:textId="77777777" w:rsidR="00770609" w:rsidRPr="00770609" w:rsidRDefault="00770609" w:rsidP="00770609">
      <w:r w:rsidRPr="00770609">
        <w:t>Diseñar, implementar y evaluar una huerta urbana sostenible mediante el uso de metodologías activas e integración de herramientas TIC, promoviendo el pensamiento crítico, la innovación y la responsabilidad ambiental.</w:t>
      </w:r>
    </w:p>
    <w:p w14:paraId="13743F8A" w14:textId="77777777" w:rsidR="00770609" w:rsidRPr="00770609" w:rsidRDefault="00770609" w:rsidP="00770609">
      <w:pPr>
        <w:rPr>
          <w:b/>
          <w:bCs/>
        </w:rPr>
      </w:pPr>
      <w:r w:rsidRPr="00770609">
        <w:rPr>
          <w:b/>
          <w:bCs/>
        </w:rPr>
        <w:t>Competencias Específicas</w:t>
      </w:r>
    </w:p>
    <w:p w14:paraId="6DB64907" w14:textId="77777777" w:rsidR="00770609" w:rsidRPr="00770609" w:rsidRDefault="00770609" w:rsidP="00770609">
      <w:pPr>
        <w:numPr>
          <w:ilvl w:val="0"/>
          <w:numId w:val="1"/>
        </w:numPr>
      </w:pPr>
      <w:r w:rsidRPr="00770609">
        <w:rPr>
          <w:b/>
          <w:bCs/>
        </w:rPr>
        <w:t>Analizar</w:t>
      </w:r>
      <w:r w:rsidRPr="00770609">
        <w:t xml:space="preserve"> los principios básicos de la agricultura urbana y la sostenibilidad desde una perspectiva científica y social.</w:t>
      </w:r>
    </w:p>
    <w:p w14:paraId="051C7EB8" w14:textId="77777777" w:rsidR="00770609" w:rsidRPr="00770609" w:rsidRDefault="00770609" w:rsidP="00770609">
      <w:pPr>
        <w:numPr>
          <w:ilvl w:val="0"/>
          <w:numId w:val="1"/>
        </w:numPr>
      </w:pPr>
      <w:r w:rsidRPr="00770609">
        <w:rPr>
          <w:b/>
          <w:bCs/>
        </w:rPr>
        <w:t>Diseñar</w:t>
      </w:r>
      <w:r w:rsidRPr="00770609">
        <w:t xml:space="preserve"> una huerta urbana aplicando criterios técnicos, ambientales y de optimización de recursos.</w:t>
      </w:r>
    </w:p>
    <w:p w14:paraId="3135FEFC" w14:textId="77777777" w:rsidR="00770609" w:rsidRPr="00770609" w:rsidRDefault="00770609" w:rsidP="00770609">
      <w:pPr>
        <w:numPr>
          <w:ilvl w:val="0"/>
          <w:numId w:val="1"/>
        </w:numPr>
      </w:pPr>
      <w:r w:rsidRPr="00770609">
        <w:rPr>
          <w:b/>
          <w:bCs/>
        </w:rPr>
        <w:t>Utilizar</w:t>
      </w:r>
      <w:r w:rsidRPr="00770609">
        <w:t xml:space="preserve"> herramientas digitales de manera estratégica para planificar, documentar y socializar los avances del proyecto.</w:t>
      </w:r>
    </w:p>
    <w:p w14:paraId="7F83CE7A" w14:textId="77777777" w:rsidR="00770609" w:rsidRPr="00770609" w:rsidRDefault="00770609" w:rsidP="00770609">
      <w:pPr>
        <w:numPr>
          <w:ilvl w:val="0"/>
          <w:numId w:val="1"/>
        </w:numPr>
      </w:pPr>
      <w:r w:rsidRPr="00770609">
        <w:rPr>
          <w:b/>
          <w:bCs/>
        </w:rPr>
        <w:t>Trabajar</w:t>
      </w:r>
      <w:r w:rsidRPr="00770609">
        <w:t xml:space="preserve"> de manera colaborativa para resolver problemas técnicos y biológicos relacionados con el mantenimiento del cultivo.</w:t>
      </w:r>
    </w:p>
    <w:p w14:paraId="7E9522B7" w14:textId="77777777" w:rsidR="00770609" w:rsidRPr="00770609" w:rsidRDefault="00770609" w:rsidP="00770609">
      <w:pPr>
        <w:numPr>
          <w:ilvl w:val="0"/>
          <w:numId w:val="1"/>
        </w:numPr>
      </w:pPr>
      <w:r w:rsidRPr="00770609">
        <w:rPr>
          <w:b/>
          <w:bCs/>
        </w:rPr>
        <w:t>Comunicar</w:t>
      </w:r>
      <w:r w:rsidRPr="00770609">
        <w:t xml:space="preserve"> los resultados y hallazgos del proyecto utilizando recursos multimedia de alto impacto.</w:t>
      </w:r>
    </w:p>
    <w:p w14:paraId="3A61C52F" w14:textId="77777777" w:rsidR="00770609" w:rsidRPr="00770609" w:rsidRDefault="00770609" w:rsidP="00770609">
      <w:pPr>
        <w:rPr>
          <w:b/>
          <w:bCs/>
        </w:rPr>
      </w:pPr>
      <w:r w:rsidRPr="00770609">
        <w:rPr>
          <w:b/>
          <w:bCs/>
        </w:rPr>
        <w:t>Resultados de Aprendizaje Esperados (RAE)</w:t>
      </w:r>
    </w:p>
    <w:p w14:paraId="53D67BE8" w14:textId="77777777" w:rsidR="00770609" w:rsidRPr="00770609" w:rsidRDefault="00770609" w:rsidP="00770609">
      <w:pPr>
        <w:numPr>
          <w:ilvl w:val="0"/>
          <w:numId w:val="2"/>
        </w:numPr>
      </w:pPr>
      <w:r w:rsidRPr="00770609">
        <w:rPr>
          <w:b/>
          <w:bCs/>
        </w:rPr>
        <w:t>RAE 1:</w:t>
      </w:r>
      <w:r w:rsidRPr="00770609">
        <w:t xml:space="preserve"> Explicar los beneficios ambientales, sociales y económicos de las huertas urbanas en contextos de seguridad alimentaria urbana.</w:t>
      </w:r>
    </w:p>
    <w:p w14:paraId="665C5955" w14:textId="77777777" w:rsidR="00770609" w:rsidRPr="00770609" w:rsidRDefault="00770609" w:rsidP="00770609">
      <w:pPr>
        <w:numPr>
          <w:ilvl w:val="0"/>
          <w:numId w:val="2"/>
        </w:numPr>
      </w:pPr>
      <w:r w:rsidRPr="00770609">
        <w:rPr>
          <w:b/>
          <w:bCs/>
        </w:rPr>
        <w:t>RAE 2:</w:t>
      </w:r>
      <w:r w:rsidRPr="00770609">
        <w:t xml:space="preserve"> Diseñar un plan de implementación técnica que integre criterios de sostenibilidad y viabilidad urbana.</w:t>
      </w:r>
    </w:p>
    <w:p w14:paraId="7FDBFADA" w14:textId="77777777" w:rsidR="00770609" w:rsidRPr="00770609" w:rsidRDefault="00770609" w:rsidP="00770609">
      <w:pPr>
        <w:numPr>
          <w:ilvl w:val="0"/>
          <w:numId w:val="2"/>
        </w:numPr>
      </w:pPr>
      <w:r w:rsidRPr="00770609">
        <w:rPr>
          <w:b/>
          <w:bCs/>
        </w:rPr>
        <w:t>RAE 3:</w:t>
      </w:r>
      <w:r w:rsidRPr="00770609">
        <w:t xml:space="preserve"> Emplear herramientas TIC para el monitoreo sistemático y análisis de variables de crecimiento de los cultivos.</w:t>
      </w:r>
    </w:p>
    <w:p w14:paraId="35336965" w14:textId="77777777" w:rsidR="00770609" w:rsidRPr="00770609" w:rsidRDefault="00770609" w:rsidP="00770609">
      <w:pPr>
        <w:numPr>
          <w:ilvl w:val="0"/>
          <w:numId w:val="2"/>
        </w:numPr>
      </w:pPr>
      <w:r w:rsidRPr="00770609">
        <w:rPr>
          <w:b/>
          <w:bCs/>
        </w:rPr>
        <w:lastRenderedPageBreak/>
        <w:t>RAE 4:</w:t>
      </w:r>
      <w:r w:rsidRPr="00770609">
        <w:t xml:space="preserve"> Elaborar productos digitales (</w:t>
      </w:r>
      <w:proofErr w:type="spellStart"/>
      <w:r w:rsidRPr="00770609">
        <w:t>Videocast</w:t>
      </w:r>
      <w:proofErr w:type="spellEnd"/>
      <w:r w:rsidRPr="00770609">
        <w:t xml:space="preserve"> e infografías) que documenten con rigor metodológico el proceso y los resultados.</w:t>
      </w:r>
    </w:p>
    <w:p w14:paraId="105F0643" w14:textId="77777777" w:rsidR="00770609" w:rsidRPr="00770609" w:rsidRDefault="00770609" w:rsidP="00770609">
      <w:pPr>
        <w:numPr>
          <w:ilvl w:val="0"/>
          <w:numId w:val="2"/>
        </w:numPr>
      </w:pPr>
      <w:r w:rsidRPr="00770609">
        <w:rPr>
          <w:b/>
          <w:bCs/>
        </w:rPr>
        <w:t>RAE 5:</w:t>
      </w:r>
      <w:r w:rsidRPr="00770609">
        <w:t xml:space="preserve"> Evaluar críticamente el impacto ambiental y educativo de la propuesta ejecutada.</w:t>
      </w:r>
    </w:p>
    <w:p w14:paraId="287FDF28" w14:textId="77777777" w:rsidR="00770609" w:rsidRPr="00770609" w:rsidRDefault="00770609" w:rsidP="00770609">
      <w:r w:rsidRPr="00770609">
        <w:rPr>
          <w:b/>
          <w:bCs/>
        </w:rPr>
        <w:t>Capa del "Qué importa" (</w:t>
      </w:r>
      <w:proofErr w:type="gramStart"/>
      <w:r w:rsidRPr="00770609">
        <w:rPr>
          <w:b/>
          <w:bCs/>
        </w:rPr>
        <w:t xml:space="preserve">So </w:t>
      </w:r>
      <w:proofErr w:type="spellStart"/>
      <w:r w:rsidRPr="00770609">
        <w:rPr>
          <w:b/>
          <w:bCs/>
        </w:rPr>
        <w:t>What</w:t>
      </w:r>
      <w:proofErr w:type="spellEnd"/>
      <w:r w:rsidRPr="00770609">
        <w:rPr>
          <w:b/>
          <w:bCs/>
        </w:rPr>
        <w:t>?</w:t>
      </w:r>
      <w:proofErr w:type="gramEnd"/>
      <w:r w:rsidRPr="00770609">
        <w:rPr>
          <w:b/>
          <w:bCs/>
        </w:rPr>
        <w:t>):</w:t>
      </w:r>
      <w:r w:rsidRPr="00770609">
        <w:t xml:space="preserve"> La alineación constructiva entre estas competencias y las demandas de la sociedad del conocimiento garantiza que el aprendizaje sea transferible y duradero. Al enfocar el currículo en el desempeño y no solo en el contenido, se asegura que el universitario desarrolle capacidades críticas para un mercado laboral que exige conciencia ambiental y destreza tecnológica. Este diseño garantiza que el aprendizaje trascienda los límites físicos del aula universitaria.</w:t>
      </w:r>
    </w:p>
    <w:p w14:paraId="4CA0B874" w14:textId="77777777" w:rsidR="00770609" w:rsidRPr="00770609" w:rsidRDefault="00770609" w:rsidP="00770609">
      <w:pPr>
        <w:rPr>
          <w:b/>
          <w:bCs/>
        </w:rPr>
      </w:pPr>
      <w:r w:rsidRPr="00770609">
        <w:rPr>
          <w:b/>
          <w:bCs/>
        </w:rPr>
        <w:t>3. Estrategia Metodológica y Mediación Pedagógica Activa</w:t>
      </w:r>
    </w:p>
    <w:p w14:paraId="4CD11973" w14:textId="77777777" w:rsidR="00770609" w:rsidRPr="00770609" w:rsidRDefault="00770609" w:rsidP="00770609">
      <w:r w:rsidRPr="00770609">
        <w:t>La efectividad de esta propuesta reside en la implementación de metodologías activas que fomentan la autonomía y el aprendizaje experiencial. El Aprendizaje Basado en Proyectos (ABP) y el Aula Invertida (</w:t>
      </w:r>
      <w:proofErr w:type="spellStart"/>
      <w:r w:rsidRPr="00770609">
        <w:rPr>
          <w:i/>
          <w:iCs/>
        </w:rPr>
        <w:t>Flipped</w:t>
      </w:r>
      <w:proofErr w:type="spellEnd"/>
      <w:r w:rsidRPr="00770609">
        <w:rPr>
          <w:i/>
          <w:iCs/>
        </w:rPr>
        <w:t xml:space="preserve"> </w:t>
      </w:r>
      <w:proofErr w:type="spellStart"/>
      <w:r w:rsidRPr="00770609">
        <w:rPr>
          <w:i/>
          <w:iCs/>
        </w:rPr>
        <w:t>Classroom</w:t>
      </w:r>
      <w:proofErr w:type="spellEnd"/>
      <w:r w:rsidRPr="00770609">
        <w:t>) constituyen los pilares que permiten al estudiante asumir el liderazgo de su formación, convirtiendo el trabajo de campo en un escenario de experimentación científica y colaboración social.</w:t>
      </w:r>
    </w:p>
    <w:p w14:paraId="0CCA2C6B" w14:textId="77777777" w:rsidR="00770609" w:rsidRPr="00770609" w:rsidRDefault="00770609" w:rsidP="00770609">
      <w:r w:rsidRPr="00770609">
        <w:t>La secuencia didáctica se ha diseñado para promover una transición fluida desde la conceptualización hasta la transferencia de conocimiento, como se detalla en la siguiente tabla: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88"/>
        <w:gridCol w:w="4329"/>
        <w:gridCol w:w="3005"/>
      </w:tblGrid>
      <w:tr w:rsidR="00770609" w:rsidRPr="00770609" w14:paraId="7A5ADC8B" w14:textId="77777777" w:rsidTr="00770609">
        <w:tc>
          <w:tcPr>
            <w:tcW w:w="0" w:type="auto"/>
            <w:tcBorders>
              <w:top w:val="outset" w:sz="6" w:space="0" w:color="auto"/>
              <w:left w:val="outset" w:sz="6" w:space="0" w:color="auto"/>
              <w:bottom w:val="outset" w:sz="6" w:space="0" w:color="auto"/>
              <w:right w:val="outset" w:sz="6" w:space="0" w:color="auto"/>
            </w:tcBorders>
            <w:vAlign w:val="center"/>
            <w:hideMark/>
          </w:tcPr>
          <w:p w14:paraId="4316BDF7" w14:textId="77777777" w:rsidR="00770609" w:rsidRPr="00770609" w:rsidRDefault="00770609" w:rsidP="00770609">
            <w:r w:rsidRPr="00770609">
              <w:t>Fase de la Secuencia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5A82964E" w14:textId="77777777" w:rsidR="00770609" w:rsidRPr="00770609" w:rsidRDefault="00770609" w:rsidP="00770609">
            <w:r w:rsidRPr="00770609">
              <w:t>Actividad Principal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D058D" w14:textId="77777777" w:rsidR="00770609" w:rsidRPr="00770609" w:rsidRDefault="00770609" w:rsidP="00770609">
            <w:r w:rsidRPr="00770609">
              <w:t>Metodología Activa Aplicada</w:t>
            </w:r>
          </w:p>
        </w:tc>
      </w:tr>
      <w:tr w:rsidR="00770609" w:rsidRPr="00770609" w14:paraId="255540B9" w14:textId="77777777" w:rsidTr="00770609">
        <w:tc>
          <w:tcPr>
            <w:tcW w:w="0" w:type="auto"/>
            <w:tcBorders>
              <w:top w:val="outset" w:sz="6" w:space="0" w:color="auto"/>
              <w:left w:val="outset" w:sz="6" w:space="0" w:color="auto"/>
              <w:bottom w:val="outset" w:sz="6" w:space="0" w:color="auto"/>
              <w:right w:val="outset" w:sz="6" w:space="0" w:color="auto"/>
            </w:tcBorders>
            <w:vAlign w:val="center"/>
            <w:hideMark/>
          </w:tcPr>
          <w:p w14:paraId="0ACBB709" w14:textId="77777777" w:rsidR="00770609" w:rsidRPr="00770609" w:rsidRDefault="00770609" w:rsidP="00770609">
            <w:r w:rsidRPr="00770609">
              <w:rPr>
                <w:b/>
                <w:bCs/>
              </w:rPr>
              <w:t>Inicio</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99588" w14:textId="77777777" w:rsidR="00770609" w:rsidRPr="00770609" w:rsidRDefault="00770609" w:rsidP="00770609">
            <w:r w:rsidRPr="00770609">
              <w:t>Activación de saberes previos sobre seguridad alimentaria y exploración de desafíos ambientales locales.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A6443" w14:textId="77777777" w:rsidR="00770609" w:rsidRPr="00770609" w:rsidRDefault="00770609" w:rsidP="00770609">
            <w:r w:rsidRPr="00770609">
              <w:t>Aula Invertida (</w:t>
            </w:r>
            <w:proofErr w:type="spellStart"/>
            <w:r w:rsidRPr="00770609">
              <w:rPr>
                <w:i/>
                <w:iCs/>
              </w:rPr>
              <w:t>Flipped</w:t>
            </w:r>
            <w:proofErr w:type="spellEnd"/>
            <w:r w:rsidRPr="00770609">
              <w:rPr>
                <w:i/>
                <w:iCs/>
              </w:rPr>
              <w:t xml:space="preserve"> </w:t>
            </w:r>
            <w:proofErr w:type="spellStart"/>
            <w:r w:rsidRPr="00770609">
              <w:rPr>
                <w:i/>
                <w:iCs/>
              </w:rPr>
              <w:t>Classroom</w:t>
            </w:r>
            <w:proofErr w:type="spellEnd"/>
            <w:r w:rsidRPr="00770609">
              <w:t>)</w:t>
            </w:r>
          </w:p>
        </w:tc>
      </w:tr>
      <w:tr w:rsidR="00770609" w:rsidRPr="00770609" w14:paraId="482DE698" w14:textId="77777777" w:rsidTr="00770609">
        <w:tc>
          <w:tcPr>
            <w:tcW w:w="0" w:type="auto"/>
            <w:tcBorders>
              <w:top w:val="outset" w:sz="6" w:space="0" w:color="auto"/>
              <w:left w:val="outset" w:sz="6" w:space="0" w:color="auto"/>
              <w:bottom w:val="outset" w:sz="6" w:space="0" w:color="auto"/>
              <w:right w:val="outset" w:sz="6" w:space="0" w:color="auto"/>
            </w:tcBorders>
            <w:vAlign w:val="center"/>
            <w:hideMark/>
          </w:tcPr>
          <w:p w14:paraId="52A0BFB7" w14:textId="77777777" w:rsidR="00770609" w:rsidRPr="00770609" w:rsidRDefault="00770609" w:rsidP="00770609">
            <w:r w:rsidRPr="00770609">
              <w:rPr>
                <w:b/>
                <w:bCs/>
              </w:rPr>
              <w:t>Desarrollo</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7A665" w14:textId="77777777" w:rsidR="00770609" w:rsidRPr="00770609" w:rsidRDefault="00770609" w:rsidP="00770609">
            <w:r w:rsidRPr="00770609">
              <w:t>Diseño técnico, siembra y monitoreo digital del ciclo de vida de la huerta urbana.</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76582" w14:textId="77777777" w:rsidR="00770609" w:rsidRPr="00770609" w:rsidRDefault="00770609" w:rsidP="00770609">
            <w:r w:rsidRPr="00770609">
              <w:t>Aprendizaje Basado en Proyectos (ABP) y Aprendizaje Experiencial</w:t>
            </w:r>
          </w:p>
        </w:tc>
      </w:tr>
      <w:tr w:rsidR="00770609" w:rsidRPr="00770609" w14:paraId="7D2C0BF1" w14:textId="77777777" w:rsidTr="00770609">
        <w:tc>
          <w:tcPr>
            <w:tcW w:w="0" w:type="auto"/>
            <w:tcBorders>
              <w:top w:val="outset" w:sz="6" w:space="0" w:color="auto"/>
              <w:left w:val="outset" w:sz="6" w:space="0" w:color="auto"/>
              <w:bottom w:val="outset" w:sz="6" w:space="0" w:color="auto"/>
              <w:right w:val="outset" w:sz="6" w:space="0" w:color="auto"/>
            </w:tcBorders>
            <w:vAlign w:val="center"/>
            <w:hideMark/>
          </w:tcPr>
          <w:p w14:paraId="23F4422B" w14:textId="77777777" w:rsidR="00770609" w:rsidRPr="00770609" w:rsidRDefault="00770609" w:rsidP="00770609">
            <w:r w:rsidRPr="00770609">
              <w:rPr>
                <w:b/>
                <w:bCs/>
              </w:rPr>
              <w:t>Cierre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B2E9B" w14:textId="77777777" w:rsidR="00770609" w:rsidRPr="00770609" w:rsidRDefault="00770609" w:rsidP="00770609">
            <w:r w:rsidRPr="00770609">
              <w:t>Síntesis de resultados, reflexión metacognitiva y socialización de hallazgos mediante productos digitales.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7D8FC" w14:textId="77777777" w:rsidR="00770609" w:rsidRPr="00770609" w:rsidRDefault="00770609" w:rsidP="00770609">
            <w:r w:rsidRPr="00770609">
              <w:t>Aprendizaje Colaborativo y Evaluación Formativa</w:t>
            </w:r>
          </w:p>
        </w:tc>
      </w:tr>
    </w:tbl>
    <w:p w14:paraId="1DD318EF" w14:textId="77777777" w:rsidR="00770609" w:rsidRPr="00770609" w:rsidRDefault="00770609" w:rsidP="00770609">
      <w:r w:rsidRPr="00770609">
        <w:rPr>
          <w:b/>
          <w:bCs/>
        </w:rPr>
        <w:lastRenderedPageBreak/>
        <w:t>Capa del "Qué importa" (</w:t>
      </w:r>
      <w:proofErr w:type="gramStart"/>
      <w:r w:rsidRPr="00770609">
        <w:rPr>
          <w:b/>
          <w:bCs/>
        </w:rPr>
        <w:t xml:space="preserve">So </w:t>
      </w:r>
      <w:proofErr w:type="spellStart"/>
      <w:r w:rsidRPr="00770609">
        <w:rPr>
          <w:b/>
          <w:bCs/>
        </w:rPr>
        <w:t>What</w:t>
      </w:r>
      <w:proofErr w:type="spellEnd"/>
      <w:r w:rsidRPr="00770609">
        <w:rPr>
          <w:b/>
          <w:bCs/>
        </w:rPr>
        <w:t>?</w:t>
      </w:r>
      <w:proofErr w:type="gramEnd"/>
      <w:r w:rsidRPr="00770609">
        <w:rPr>
          <w:b/>
          <w:bCs/>
        </w:rPr>
        <w:t>):</w:t>
      </w:r>
      <w:r w:rsidRPr="00770609">
        <w:t xml:space="preserve"> La elección de la metodología experiencial es pedagógicamente superior a los modelos expositivos tradicionales, ya que la fijación de conceptos de sostenibilidad ocurre a través de la interacción directa con el sistema biológico. La teoría se valida en la praxis, lo que genera un aprendizaje profundo que permite al estudiante comprender la complejidad de los ciclos naturales. Esta mediación pedagógica es potenciada por herramientas digitales que sirven como soporte y evidencia científica del proceso.</w:t>
      </w:r>
    </w:p>
    <w:p w14:paraId="46705061" w14:textId="77777777" w:rsidR="00770609" w:rsidRPr="00770609" w:rsidRDefault="00770609" w:rsidP="00770609">
      <w:pPr>
        <w:rPr>
          <w:b/>
          <w:bCs/>
        </w:rPr>
      </w:pPr>
      <w:r w:rsidRPr="00770609">
        <w:rPr>
          <w:b/>
          <w:bCs/>
        </w:rPr>
        <w:t>4. Integración Estratégica de Herramientas TIC</w:t>
      </w:r>
    </w:p>
    <w:p w14:paraId="5DC884FC" w14:textId="77777777" w:rsidR="00770609" w:rsidRPr="00770609" w:rsidRDefault="00770609" w:rsidP="00770609">
      <w:r w:rsidRPr="00770609">
        <w:t>En este diseño curricular, las Tecnologías de la Información y la Comunicación (TIC) no se conciben como herramientas aisladas, sino como mediadores esenciales para la construcción de conocimiento colaborativo y el fortalecimiento de la competencia digital profesional. La selección de las herramientas responde a una justificación técnica vinculada a los objetivos de aprendizaje:</w:t>
      </w:r>
    </w:p>
    <w:p w14:paraId="70A29907" w14:textId="77777777" w:rsidR="00770609" w:rsidRPr="00770609" w:rsidRDefault="00770609" w:rsidP="00770609">
      <w:pPr>
        <w:numPr>
          <w:ilvl w:val="0"/>
          <w:numId w:val="3"/>
        </w:numPr>
      </w:pPr>
      <w:r w:rsidRPr="00770609">
        <w:rPr>
          <w:b/>
          <w:bCs/>
        </w:rPr>
        <w:t xml:space="preserve">Google </w:t>
      </w:r>
      <w:proofErr w:type="spellStart"/>
      <w:r w:rsidRPr="00770609">
        <w:rPr>
          <w:b/>
          <w:bCs/>
        </w:rPr>
        <w:t>Classroom</w:t>
      </w:r>
      <w:proofErr w:type="spellEnd"/>
      <w:r w:rsidRPr="00770609">
        <w:rPr>
          <w:b/>
          <w:bCs/>
        </w:rPr>
        <w:t>:</w:t>
      </w:r>
      <w:r w:rsidRPr="00770609">
        <w:t xml:space="preserve"> Funciona como el Sistema de Gestión de Aprendizaje (LMS) que centraliza el proceso, facilitando la organización de recursos, la retroalimentación asincrónica y la trazabilidad de las evidencias de aprendizaje.</w:t>
      </w:r>
    </w:p>
    <w:p w14:paraId="28D58772" w14:textId="77777777" w:rsidR="00770609" w:rsidRPr="00770609" w:rsidRDefault="00770609" w:rsidP="00770609">
      <w:pPr>
        <w:numPr>
          <w:ilvl w:val="0"/>
          <w:numId w:val="3"/>
        </w:numPr>
      </w:pPr>
      <w:proofErr w:type="spellStart"/>
      <w:r w:rsidRPr="00770609">
        <w:rPr>
          <w:b/>
          <w:bCs/>
        </w:rPr>
        <w:t>Canva</w:t>
      </w:r>
      <w:proofErr w:type="spellEnd"/>
      <w:r w:rsidRPr="00770609">
        <w:rPr>
          <w:b/>
          <w:bCs/>
        </w:rPr>
        <w:t>:</w:t>
      </w:r>
      <w:r w:rsidRPr="00770609">
        <w:t xml:space="preserve"> Actúa como el motor creativo y técnico para el desarrollo de la comunicación visual. Su función crítica en este proyecto es permitir la producción y edición del </w:t>
      </w:r>
      <w:proofErr w:type="spellStart"/>
      <w:r w:rsidRPr="00770609">
        <w:rPr>
          <w:b/>
          <w:bCs/>
        </w:rPr>
        <w:t>Videocast</w:t>
      </w:r>
      <w:proofErr w:type="spellEnd"/>
      <w:r w:rsidRPr="00770609">
        <w:t>, un producto digital requerido que exige al estudiante sintetizar procesos técnicos complejos en un formato multimedia profesional, desarrollando así habilidades comunicativas digitales de alto nivel.</w:t>
      </w:r>
    </w:p>
    <w:p w14:paraId="22B9FB74" w14:textId="77777777" w:rsidR="00770609" w:rsidRPr="00770609" w:rsidRDefault="00770609" w:rsidP="00770609">
      <w:pPr>
        <w:numPr>
          <w:ilvl w:val="0"/>
          <w:numId w:val="3"/>
        </w:numPr>
      </w:pPr>
      <w:r w:rsidRPr="00770609">
        <w:rPr>
          <w:b/>
          <w:bCs/>
        </w:rPr>
        <w:t xml:space="preserve">Google </w:t>
      </w:r>
      <w:proofErr w:type="spellStart"/>
      <w:r w:rsidRPr="00770609">
        <w:rPr>
          <w:b/>
          <w:bCs/>
        </w:rPr>
        <w:t>Sheets</w:t>
      </w:r>
      <w:proofErr w:type="spellEnd"/>
      <w:r w:rsidRPr="00770609">
        <w:rPr>
          <w:b/>
          <w:bCs/>
        </w:rPr>
        <w:t>:</w:t>
      </w:r>
      <w:r w:rsidRPr="00770609">
        <w:t xml:space="preserve"> Se integra como una herramienta de análisis de datos científicos. Los estudiantes registran variables de crecimiento y mantenimiento, utilizando funciones y gráficos para interpretar cuantitativamente la evolución de sus cultivos.</w:t>
      </w:r>
    </w:p>
    <w:p w14:paraId="53F05F37" w14:textId="77777777" w:rsidR="00770609" w:rsidRPr="00770609" w:rsidRDefault="00770609" w:rsidP="00770609">
      <w:r w:rsidRPr="00770609">
        <w:rPr>
          <w:b/>
          <w:bCs/>
        </w:rPr>
        <w:t>Capa del "Qué importa" (</w:t>
      </w:r>
      <w:proofErr w:type="gramStart"/>
      <w:r w:rsidRPr="00770609">
        <w:rPr>
          <w:b/>
          <w:bCs/>
        </w:rPr>
        <w:t xml:space="preserve">So </w:t>
      </w:r>
      <w:proofErr w:type="spellStart"/>
      <w:r w:rsidRPr="00770609">
        <w:rPr>
          <w:b/>
          <w:bCs/>
        </w:rPr>
        <w:t>What</w:t>
      </w:r>
      <w:proofErr w:type="spellEnd"/>
      <w:r w:rsidRPr="00770609">
        <w:rPr>
          <w:b/>
          <w:bCs/>
        </w:rPr>
        <w:t>?</w:t>
      </w:r>
      <w:proofErr w:type="gramEnd"/>
      <w:r w:rsidRPr="00770609">
        <w:rPr>
          <w:b/>
          <w:bCs/>
        </w:rPr>
        <w:t>):</w:t>
      </w:r>
      <w:r w:rsidRPr="00770609">
        <w:t xml:space="preserve"> El uso de estas herramientas impacta directamente en la sofisticación del perfil profesional del estudiante. El registro sistemático en hojas de cálculo no es una tarea administrativa, sino un ejercicio de rigor científico y pensamiento analítico. Al documentar y comunicar su proyecto mediante un </w:t>
      </w:r>
      <w:proofErr w:type="spellStart"/>
      <w:r w:rsidRPr="00770609">
        <w:t>Videocast</w:t>
      </w:r>
      <w:proofErr w:type="spellEnd"/>
      <w:r w:rsidRPr="00770609">
        <w:t>, el estudiante aprende a gestionar datos reales y a transformarlos en información valiosa para la comunidad, elevando el estándar de su competencia digital.</w:t>
      </w:r>
    </w:p>
    <w:p w14:paraId="4781A529" w14:textId="77777777" w:rsidR="00770609" w:rsidRPr="00770609" w:rsidRDefault="00770609" w:rsidP="00770609">
      <w:pPr>
        <w:rPr>
          <w:b/>
          <w:bCs/>
        </w:rPr>
      </w:pPr>
      <w:r w:rsidRPr="00770609">
        <w:rPr>
          <w:b/>
          <w:bCs/>
        </w:rPr>
        <w:t>5. Sistema de Evaluación por Competencias y Evidencias</w:t>
      </w:r>
    </w:p>
    <w:p w14:paraId="53A9EA1D" w14:textId="77777777" w:rsidR="00770609" w:rsidRPr="00770609" w:rsidRDefault="00770609" w:rsidP="00770609">
      <w:r w:rsidRPr="00770609">
        <w:lastRenderedPageBreak/>
        <w:t>La evaluación en este proyecto se define como un proceso formativo, continuo y dialógico, orientado al mejoramiento permanente y alineado con las buenas prácticas de innovación educativa. Bajo este enfoque, la evaluación deja de ser un evento final para convertirse en un motor de aprendizaje que asegura la alineación entre los objetivos propuestos y los logros alcanzados.</w:t>
      </w:r>
    </w:p>
    <w:p w14:paraId="38873AAB" w14:textId="77777777" w:rsidR="00770609" w:rsidRPr="00770609" w:rsidRDefault="00770609" w:rsidP="00770609">
      <w:r w:rsidRPr="00770609">
        <w:t>Para garantizar una valoración objetiva y multidimensional del desempeño, se establecen los siguientes instrumentos:</w:t>
      </w:r>
    </w:p>
    <w:p w14:paraId="36E28DAF" w14:textId="77777777" w:rsidR="00770609" w:rsidRPr="00770609" w:rsidRDefault="00770609" w:rsidP="00770609">
      <w:pPr>
        <w:numPr>
          <w:ilvl w:val="0"/>
          <w:numId w:val="4"/>
        </w:numPr>
      </w:pPr>
      <w:r w:rsidRPr="00770609">
        <w:rPr>
          <w:b/>
          <w:bCs/>
        </w:rPr>
        <w:t>Rúbricas Socioformativas:</w:t>
      </w:r>
      <w:r w:rsidRPr="00770609">
        <w:t xml:space="preserve"> Diseñadas para evaluar el </w:t>
      </w:r>
      <w:proofErr w:type="spellStart"/>
      <w:r w:rsidRPr="00770609">
        <w:t>Videocast</w:t>
      </w:r>
      <w:proofErr w:type="spellEnd"/>
      <w:r w:rsidRPr="00770609">
        <w:t xml:space="preserve"> y el diseño de la huerta, estableciendo niveles de desempeño claros desde lo receptivo hasta lo estratégico.</w:t>
      </w:r>
    </w:p>
    <w:p w14:paraId="2C624B11" w14:textId="77777777" w:rsidR="00770609" w:rsidRPr="00770609" w:rsidRDefault="00770609" w:rsidP="00770609">
      <w:pPr>
        <w:numPr>
          <w:ilvl w:val="0"/>
          <w:numId w:val="4"/>
        </w:numPr>
      </w:pPr>
      <w:r w:rsidRPr="00770609">
        <w:rPr>
          <w:b/>
          <w:bCs/>
        </w:rPr>
        <w:t>Listas de Cotejo:</w:t>
      </w:r>
      <w:r w:rsidRPr="00770609">
        <w:t xml:space="preserve"> Utilizadas para el seguimiento técnico periódico durante las fases de siembra y monitoreo en el campo.</w:t>
      </w:r>
    </w:p>
    <w:p w14:paraId="51E69282" w14:textId="77777777" w:rsidR="00770609" w:rsidRPr="00770609" w:rsidRDefault="00770609" w:rsidP="00770609">
      <w:pPr>
        <w:numPr>
          <w:ilvl w:val="0"/>
          <w:numId w:val="4"/>
        </w:numPr>
      </w:pPr>
      <w:r w:rsidRPr="00770609">
        <w:rPr>
          <w:b/>
          <w:bCs/>
        </w:rPr>
        <w:t>Portafolio Digital y Bitácora:</w:t>
      </w:r>
      <w:r w:rsidRPr="00770609">
        <w:t xml:space="preserve"> Instrumentos de compilación de evidencias que permiten visibilizar la evolución del pensamiento del estudiante y sus reflexiones críticas.</w:t>
      </w:r>
    </w:p>
    <w:p w14:paraId="158F5C12" w14:textId="77777777" w:rsidR="00770609" w:rsidRPr="00770609" w:rsidRDefault="00770609" w:rsidP="00770609">
      <w:pPr>
        <w:numPr>
          <w:ilvl w:val="0"/>
          <w:numId w:val="4"/>
        </w:numPr>
      </w:pPr>
      <w:r w:rsidRPr="00770609">
        <w:rPr>
          <w:b/>
          <w:bCs/>
        </w:rPr>
        <w:t>Autoevaluación y Coevaluación:</w:t>
      </w:r>
      <w:r w:rsidRPr="00770609">
        <w:t xml:space="preserve"> Estrategias de reflexión metacognitiva donde el estudiante valora su propio crecimiento y el aporte ético y técnico de sus pares en el trabajo colaborativo.</w:t>
      </w:r>
    </w:p>
    <w:p w14:paraId="37CBE605" w14:textId="77777777" w:rsidR="00770609" w:rsidRPr="00770609" w:rsidRDefault="00770609" w:rsidP="00770609">
      <w:r w:rsidRPr="00770609">
        <w:rPr>
          <w:b/>
          <w:bCs/>
        </w:rPr>
        <w:t>Capa del "Qué importa" (</w:t>
      </w:r>
      <w:proofErr w:type="gramStart"/>
      <w:r w:rsidRPr="00770609">
        <w:rPr>
          <w:b/>
          <w:bCs/>
        </w:rPr>
        <w:t xml:space="preserve">So </w:t>
      </w:r>
      <w:proofErr w:type="spellStart"/>
      <w:r w:rsidRPr="00770609">
        <w:rPr>
          <w:b/>
          <w:bCs/>
        </w:rPr>
        <w:t>What</w:t>
      </w:r>
      <w:proofErr w:type="spellEnd"/>
      <w:r w:rsidRPr="00770609">
        <w:rPr>
          <w:b/>
          <w:bCs/>
        </w:rPr>
        <w:t>?</w:t>
      </w:r>
      <w:proofErr w:type="gramEnd"/>
      <w:r w:rsidRPr="00770609">
        <w:rPr>
          <w:b/>
          <w:bCs/>
        </w:rPr>
        <w:t>):</w:t>
      </w:r>
      <w:r w:rsidRPr="00770609">
        <w:t xml:space="preserve"> Este sistema garantiza la transparencia y la calidad educativa, fomentando una cultura de la excelencia y la responsabilidad. Al involucrar al estudiante en los procesos de coevaluación, se fortalece su juicio profesional y su capacidad de retroalimentación constructiva. En última instancia, la solidez de esta propuesta técnica asegura que el egresado no solo domine la teoría de la sostenibilidad, sino que posea las facultades críticas y digitales para liderar la transformación ambiental en su futura vida profesional.</w:t>
      </w:r>
    </w:p>
    <w:p w14:paraId="24443299" w14:textId="77777777" w:rsidR="00770609" w:rsidRPr="00770609" w:rsidRDefault="00770609" w:rsidP="00770609">
      <w:pPr>
        <w:rPr>
          <w:b/>
          <w:bCs/>
        </w:rPr>
      </w:pPr>
      <w:r w:rsidRPr="00770609">
        <w:rPr>
          <w:b/>
          <w:bCs/>
        </w:rPr>
        <w:t>6. Referencias Bibliográficas (Normas APA 7.ª Edición)</w:t>
      </w:r>
    </w:p>
    <w:p w14:paraId="6755D6D2" w14:textId="77777777" w:rsidR="00770609" w:rsidRPr="00770609" w:rsidRDefault="00770609" w:rsidP="00770609">
      <w:pPr>
        <w:numPr>
          <w:ilvl w:val="0"/>
          <w:numId w:val="5"/>
        </w:numPr>
      </w:pPr>
      <w:r w:rsidRPr="00770609">
        <w:t xml:space="preserve">FAO (Organización de las Naciones Unidas para la Alimentación y la Agricultura). (s.f.). </w:t>
      </w:r>
      <w:r w:rsidRPr="00770609">
        <w:rPr>
          <w:i/>
          <w:iCs/>
        </w:rPr>
        <w:t>Agricultura urbana y periurbana</w:t>
      </w:r>
      <w:r w:rsidRPr="00770609">
        <w:t>.</w:t>
      </w:r>
    </w:p>
    <w:p w14:paraId="631F1BD1" w14:textId="77777777" w:rsidR="00770609" w:rsidRPr="00770609" w:rsidRDefault="00770609" w:rsidP="00770609">
      <w:pPr>
        <w:numPr>
          <w:ilvl w:val="0"/>
          <w:numId w:val="5"/>
        </w:numPr>
      </w:pPr>
      <w:r w:rsidRPr="00770609">
        <w:t xml:space="preserve">Ministerio de Educación Nacional de Colombia. (s.f.). </w:t>
      </w:r>
      <w:r w:rsidRPr="00770609">
        <w:rPr>
          <w:i/>
          <w:iCs/>
        </w:rPr>
        <w:t>Lineamientos para el desarrollo de competencias y uso pedagógico de las TIC</w:t>
      </w:r>
      <w:r w:rsidRPr="00770609">
        <w:t>.</w:t>
      </w:r>
    </w:p>
    <w:p w14:paraId="3B7AFF7C" w14:textId="77777777" w:rsidR="00770609" w:rsidRPr="00770609" w:rsidRDefault="00770609" w:rsidP="00770609">
      <w:pPr>
        <w:numPr>
          <w:ilvl w:val="0"/>
          <w:numId w:val="5"/>
        </w:numPr>
      </w:pPr>
      <w:r w:rsidRPr="00770609">
        <w:t xml:space="preserve">Perrenoud, P. (2004). </w:t>
      </w:r>
      <w:r w:rsidRPr="00770609">
        <w:rPr>
          <w:i/>
          <w:iCs/>
        </w:rPr>
        <w:t>Diez nuevas competencias para enseñar</w:t>
      </w:r>
      <w:r w:rsidRPr="00770609">
        <w:t>. Graó.</w:t>
      </w:r>
    </w:p>
    <w:p w14:paraId="78A81AB9" w14:textId="77777777" w:rsidR="00770609" w:rsidRPr="00770609" w:rsidRDefault="00770609" w:rsidP="00770609">
      <w:pPr>
        <w:numPr>
          <w:ilvl w:val="0"/>
          <w:numId w:val="5"/>
        </w:numPr>
      </w:pPr>
      <w:r w:rsidRPr="00770609">
        <w:t xml:space="preserve">Tobón, S. (2013). </w:t>
      </w:r>
      <w:r w:rsidRPr="00770609">
        <w:rPr>
          <w:i/>
          <w:iCs/>
        </w:rPr>
        <w:t>Formación Integral y Competencias: Pensamiento complejo, currículo, didáctica y evaluación</w:t>
      </w:r>
      <w:r w:rsidRPr="00770609">
        <w:t xml:space="preserve"> (4.ª ed.). </w:t>
      </w:r>
      <w:proofErr w:type="spellStart"/>
      <w:r w:rsidRPr="00770609">
        <w:t>Ecoe</w:t>
      </w:r>
      <w:proofErr w:type="spellEnd"/>
      <w:r w:rsidRPr="00770609">
        <w:t xml:space="preserve"> Ediciones.</w:t>
      </w:r>
    </w:p>
    <w:p w14:paraId="641633E0" w14:textId="77777777" w:rsidR="00770609" w:rsidRPr="00770609" w:rsidRDefault="00770609" w:rsidP="00770609">
      <w:pPr>
        <w:numPr>
          <w:ilvl w:val="0"/>
          <w:numId w:val="5"/>
        </w:numPr>
      </w:pPr>
      <w:r w:rsidRPr="00770609">
        <w:lastRenderedPageBreak/>
        <w:t xml:space="preserve">UNESCO. (2019). </w:t>
      </w:r>
      <w:r w:rsidRPr="00770609">
        <w:rPr>
          <w:i/>
          <w:iCs/>
        </w:rPr>
        <w:t>Marco de Competencias de los Docentes en materia de TIC</w:t>
      </w:r>
      <w:r w:rsidRPr="00770609">
        <w:t>. Organización de las Naciones Unidas para la Educación, la Ciencia y la Cultura.</w:t>
      </w:r>
    </w:p>
    <w:p w14:paraId="191EFC0E" w14:textId="77777777" w:rsidR="00085BF3" w:rsidRDefault="00085BF3"/>
    <w:sectPr w:rsidR="00085B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53A2D"/>
    <w:multiLevelType w:val="multilevel"/>
    <w:tmpl w:val="0B4C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37203A"/>
    <w:multiLevelType w:val="multilevel"/>
    <w:tmpl w:val="01C4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AC1D78"/>
    <w:multiLevelType w:val="multilevel"/>
    <w:tmpl w:val="8B1A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738E6"/>
    <w:multiLevelType w:val="multilevel"/>
    <w:tmpl w:val="FD46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71440"/>
    <w:multiLevelType w:val="multilevel"/>
    <w:tmpl w:val="252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286004">
    <w:abstractNumId w:val="3"/>
  </w:num>
  <w:num w:numId="2" w16cid:durableId="1983004162">
    <w:abstractNumId w:val="2"/>
  </w:num>
  <w:num w:numId="3" w16cid:durableId="278221909">
    <w:abstractNumId w:val="0"/>
  </w:num>
  <w:num w:numId="4" w16cid:durableId="1372999193">
    <w:abstractNumId w:val="4"/>
  </w:num>
  <w:num w:numId="5" w16cid:durableId="636616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609"/>
    <w:rsid w:val="00085BF3"/>
    <w:rsid w:val="005064C6"/>
    <w:rsid w:val="00770609"/>
    <w:rsid w:val="00832F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E165"/>
  <w15:chartTrackingRefBased/>
  <w15:docId w15:val="{43DE9118-D6BF-4987-92B9-1D1DBA13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0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0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06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06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06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06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06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06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06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06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06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06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06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06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06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06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06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0609"/>
    <w:rPr>
      <w:rFonts w:eastAsiaTheme="majorEastAsia" w:cstheme="majorBidi"/>
      <w:color w:val="272727" w:themeColor="text1" w:themeTint="D8"/>
    </w:rPr>
  </w:style>
  <w:style w:type="paragraph" w:styleId="Ttulo">
    <w:name w:val="Title"/>
    <w:basedOn w:val="Normal"/>
    <w:next w:val="Normal"/>
    <w:link w:val="TtuloCar"/>
    <w:uiPriority w:val="10"/>
    <w:qFormat/>
    <w:rsid w:val="00770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06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06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06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0609"/>
    <w:pPr>
      <w:spacing w:before="160"/>
      <w:jc w:val="center"/>
    </w:pPr>
    <w:rPr>
      <w:i/>
      <w:iCs/>
      <w:color w:val="404040" w:themeColor="text1" w:themeTint="BF"/>
    </w:rPr>
  </w:style>
  <w:style w:type="character" w:customStyle="1" w:styleId="CitaCar">
    <w:name w:val="Cita Car"/>
    <w:basedOn w:val="Fuentedeprrafopredeter"/>
    <w:link w:val="Cita"/>
    <w:uiPriority w:val="29"/>
    <w:rsid w:val="00770609"/>
    <w:rPr>
      <w:i/>
      <w:iCs/>
      <w:color w:val="404040" w:themeColor="text1" w:themeTint="BF"/>
    </w:rPr>
  </w:style>
  <w:style w:type="paragraph" w:styleId="Prrafodelista">
    <w:name w:val="List Paragraph"/>
    <w:basedOn w:val="Normal"/>
    <w:uiPriority w:val="34"/>
    <w:qFormat/>
    <w:rsid w:val="00770609"/>
    <w:pPr>
      <w:ind w:left="720"/>
      <w:contextualSpacing/>
    </w:pPr>
  </w:style>
  <w:style w:type="character" w:styleId="nfasisintenso">
    <w:name w:val="Intense Emphasis"/>
    <w:basedOn w:val="Fuentedeprrafopredeter"/>
    <w:uiPriority w:val="21"/>
    <w:qFormat/>
    <w:rsid w:val="00770609"/>
    <w:rPr>
      <w:i/>
      <w:iCs/>
      <w:color w:val="0F4761" w:themeColor="accent1" w:themeShade="BF"/>
    </w:rPr>
  </w:style>
  <w:style w:type="paragraph" w:styleId="Citadestacada">
    <w:name w:val="Intense Quote"/>
    <w:basedOn w:val="Normal"/>
    <w:next w:val="Normal"/>
    <w:link w:val="CitadestacadaCar"/>
    <w:uiPriority w:val="30"/>
    <w:qFormat/>
    <w:rsid w:val="00770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0609"/>
    <w:rPr>
      <w:i/>
      <w:iCs/>
      <w:color w:val="0F4761" w:themeColor="accent1" w:themeShade="BF"/>
    </w:rPr>
  </w:style>
  <w:style w:type="character" w:styleId="Referenciaintensa">
    <w:name w:val="Intense Reference"/>
    <w:basedOn w:val="Fuentedeprrafopredeter"/>
    <w:uiPriority w:val="32"/>
    <w:qFormat/>
    <w:rsid w:val="007706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476029">
      <w:bodyDiv w:val="1"/>
      <w:marLeft w:val="0"/>
      <w:marRight w:val="0"/>
      <w:marTop w:val="0"/>
      <w:marBottom w:val="0"/>
      <w:divBdr>
        <w:top w:val="none" w:sz="0" w:space="0" w:color="auto"/>
        <w:left w:val="none" w:sz="0" w:space="0" w:color="auto"/>
        <w:bottom w:val="none" w:sz="0" w:space="0" w:color="auto"/>
        <w:right w:val="none" w:sz="0" w:space="0" w:color="auto"/>
      </w:divBdr>
    </w:div>
    <w:div w:id="195297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1685</Words>
  <Characters>9271</Characters>
  <Application>Microsoft Office Word</Application>
  <DocSecurity>0</DocSecurity>
  <Lines>77</Lines>
  <Paragraphs>21</Paragraphs>
  <ScaleCrop>false</ScaleCrop>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EQUIPO</cp:lastModifiedBy>
  <cp:revision>1</cp:revision>
  <dcterms:created xsi:type="dcterms:W3CDTF">2026-07-06T20:07:00Z</dcterms:created>
  <dcterms:modified xsi:type="dcterms:W3CDTF">2026-07-06T20:10:00Z</dcterms:modified>
</cp:coreProperties>
</file>