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0F172A"/>
          <w:sz w:val="40"/>
          <w:szCs w:val="40"/>
        </w:rPr>
        <w:t xml:space="preserve">GEST-AR</w:t>
      </w:r>
    </w:p>
    <w:p>
      <w:pPr>
        <w:spacing w:after="60" w:before="0"/>
      </w:pPr>
      <w:r>
        <w:rPr>
          <w:rFonts w:ascii="Calibri" w:cs="Calibri" w:eastAsia="Calibri" w:hAnsi="Calibri"/>
          <w:color w:val="475569"/>
          <w:sz w:val="21"/>
          <w:szCs w:val="21"/>
        </w:rPr>
        <w:t xml:space="preserve">Ecosistema digital para el aprendizaje de la gestión administrativa integral</w:t>
      </w:r>
    </w:p>
    <w:p>
      <w:pPr>
        <w:spacing w:after="200" w:before="0"/>
      </w:pPr>
      <w:r>
        <w:rPr>
          <w:rFonts w:ascii="Calibri" w:cs="Calibri" w:eastAsia="Calibri" w:hAnsi="Calibri"/>
          <w:b/>
          <w:bCs/>
          <w:color w:val="475569"/>
          <w:sz w:val="20"/>
          <w:szCs w:val="20"/>
        </w:rPr>
        <w:t xml:space="preserve">Guía de actividades  ·  Ciencias Económicas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Estudiante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.......................................................................................................</w:t>
            </w:r>
          </w:p>
        </w:tc>
      </w:tr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Curso / Comisión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.......................................................................................................</w:t>
            </w:r>
          </w:p>
        </w:tc>
      </w:tr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0"/>
                <w:szCs w:val="20"/>
              </w:rPr>
              <w:t xml:space="preserve">Fecha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.......................................................................................................</w:t>
            </w:r>
          </w:p>
        </w:tc>
      </w:tr>
    </w:tbl>
    <w:p>
      <w:pPr>
        <w:pBdr>
          <w:bottom w:val="single" w:color="047857" w:sz="10" w:space="6"/>
        </w:pBdr>
        <w:spacing w:after="140" w:before="260"/>
      </w:pPr>
      <w:r>
        <w:rPr>
          <w:rFonts w:ascii="Calibri" w:cs="Calibri" w:eastAsia="Calibri" w:hAnsi="Calibri"/>
          <w:b/>
          <w:bCs/>
          <w:color w:val="047857"/>
          <w:sz w:val="30"/>
          <w:szCs w:val="30"/>
        </w:rPr>
        <w:t xml:space="preserve">Consigna 1 · Poné tu empresa en marcha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Modalidad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En clase, guiada paso a paso junto al docente</w:t>
            </w:r>
          </w:p>
        </w:tc>
      </w:tr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PyMEZ 360  +  TRIBUT.AR</w:t>
            </w:r>
          </w:p>
        </w:tc>
      </w:tr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047857"/>
                <w:sz w:val="20"/>
                <w:szCs w:val="20"/>
              </w:rPr>
              <w:t xml:space="preserve">Entrega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Para la clase siguiente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Poner en funcionamiento una empresa simulada y registrar sus primeras operaciones comerciales, para comprobar cómo cada movimiento genera su registro contable y su efecto fiscal.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47857"/>
          <w:sz w:val="23"/>
          <w:szCs w:val="23"/>
        </w:rPr>
        <w:t xml:space="preserve">Parte A — Arrancamos en PyMEZ 360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Creá tu cuenta con el correo institucional.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Creá tu empresa: razón social, CUIT, rubro y actividad económica. Prestá atención al elegir la actividad: ahí queda definida la alícuota de Ingresos Brutos. Cargá los saldos iniciales de caja y banco.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Registrá un proveedor y cargá una compra de mercadería. Observá cómo el sistema computa el crédito fiscal de IVA.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Andá a Ventas e intentá registrar una venta.</w:t>
      </w:r>
    </w:p>
    <w:tbl>
      <w:tblPr>
        <w:tblW w:type="auto" w:w="100"/>
        <w:tblBorders>
          <w:top w:val="single" w:color="EA580C" w:sz="6"/>
          <w:left w:val="single" w:color="EA580C" w:sz="18"/>
          <w:bottom w:val="single" w:color="EA580C" w:sz="6"/>
          <w:right w:val="single" w:color="EA580C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FF7ED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rFonts w:ascii="Calibri" w:cs="Calibri" w:eastAsia="Calibri" w:hAnsi="Calibri"/>
                <w:b/>
                <w:bCs/>
                <w:color w:val="9A3412"/>
                <w:sz w:val="21"/>
                <w:szCs w:val="21"/>
              </w:rPr>
              <w:t xml:space="preserve">Atención: el sistema no te va a dejar vender.</w:t>
            </w:r>
          </w:p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7C2D12"/>
                <w:sz w:val="21"/>
                <w:szCs w:val="21"/>
              </w:rPr>
              <w:t xml:space="preserve">Falta habilitar el punto de venta, y la restricción es intencional: ninguna empresa puede emitir comprobantes sin la autorización previa del organismo fiscal. Ahí es donde entra TRIBUT.AR.</w:t>
            </w:r>
          </w:p>
        </w:tc>
      </w:tr>
    </w:tbl>
    <w:p>
      <w:pPr>
        <w:spacing w:after="100" w:before="200"/>
      </w:pPr>
      <w:r>
        <w:rPr>
          <w:rFonts w:ascii="Calibri" w:cs="Calibri" w:eastAsia="Calibri" w:hAnsi="Calibri"/>
          <w:b/>
          <w:bCs/>
          <w:color w:val="1D4ED8"/>
          <w:sz w:val="23"/>
          <w:szCs w:val="23"/>
        </w:rPr>
        <w:t xml:space="preserve">Parte B — Resolvemos el bloqueo en TRIBUT.AR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Registrate con el mismo correo que usaste en PyMEZ 360.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Creá el perfil del contribuyente con los datos de tu empresa.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Completá el alta registral.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Adherí al Régimen General (Responsable Inscripto).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Constituí el Domicilio Fiscal Electrónico.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Date de alta como empleador. Lo vamos a necesitar en la próxima clase.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Habilitá un punto de venta y copiá el código que genera (tiene el formato PV1-XXXXXX).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47857"/>
          <w:sz w:val="23"/>
          <w:szCs w:val="23"/>
        </w:rPr>
        <w:t xml:space="preserve">Parte C — Volvemos a PyMEZ 360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Entrá a Mi Empresa → Habilitación de Punto de Venta, pegá el código y vinculá.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Registrá dos ventas: una de contado y otra en cuenta corriente.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Registrá el cobro de la venta en cuenta corriente.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Recorré la sección Contabilidad y mirá los asientos que se generaron solos.</w:t>
      </w:r>
    </w:p>
    <w:tbl>
      <w:tblPr>
        <w:tblW w:type="auto" w:w="100"/>
        <w:tblBorders>
          <w:top w:val="single" w:color="047857" w:sz="6"/>
          <w:left w:val="single" w:color="047857" w:sz="18"/>
          <w:bottom w:val="single" w:color="047857" w:sz="6"/>
          <w:right w:val="single" w:color="047857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0FDF4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65F46"/>
                <w:sz w:val="23"/>
                <w:szCs w:val="23"/>
              </w:rPr>
              <w:t xml:space="preserve">Qué entregar en la próxima clase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Formato: </w:t>
            </w: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un PDF o una presentación, armado con capturas de pantalla.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Presentación de tu empresa: razón social, CUIT, actividad y régimen fiscal.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Libro Diario.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Libro Mayor.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Balance de sumas y saldos.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Estado de Resultados.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Libro IVA.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Un comprobante comercial emitido (factura o recibo).</w:t>
            </w:r>
          </w:p>
          <w:p>
            <w:pPr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Y respondé en el mismo archivo, en pocos renglones: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¿Por qué el sistema no les permitió vender antes de habilitar el punto de venta?</w:t>
            </w:r>
          </w:p>
          <w:p>
            <w:pPr>
              <w:pStyle w:val="ListParagraph"/>
              <w:numPr>
                <w:ilvl w:val="0"/>
                <w:numId w:val="4"/>
              </w:num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¿Qué diferencia encontraron entre la venta de contado y la de cuenta corriente, en el asiento y en la caja?</w:t>
            </w:r>
          </w:p>
        </w:tc>
      </w:tr>
    </w:tbl>
    <w:p>
      <w:pPr>
        <w:pBdr>
          <w:bottom w:val="single" w:color="7E22CE" w:sz="10" w:space="6"/>
        </w:pBdr>
        <w:spacing w:after="140" w:before="260"/>
      </w:pPr>
      <w:r>
        <w:rPr>
          <w:rFonts w:ascii="Calibri" w:cs="Calibri" w:eastAsia="Calibri" w:hAnsi="Calibri"/>
          <w:b/>
          <w:bCs/>
          <w:color w:val="7E22CE"/>
          <w:sz w:val="30"/>
          <w:szCs w:val="30"/>
        </w:rPr>
        <w:t xml:space="preserve">Consigna 2 · Sumá el personal a tu empresa</w:t>
      </w:r>
    </w:p>
    <w:tbl>
      <w:tblPr>
        <w:tblW w:type="auto" w:w="1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E2E8F0" w:sz="4"/>
          <w:insideV w:val="none" w:color="FFFFFF" w:sz="0"/>
        </w:tblBorders>
      </w:tblPr>
      <w:tblGrid>
        <w:gridCol w:w="2200"/>
        <w:gridCol w:w="7160"/>
      </w:tblGrid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Modalidad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Tarea domiciliaria, para explorar por tu cuenta</w:t>
            </w:r>
          </w:p>
        </w:tc>
      </w:tr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Plataformas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Sueldos 360  +  PyMEZ 360</w:t>
            </w:r>
          </w:p>
        </w:tc>
      </w:tr>
      <w:tr>
        <w:tc>
          <w:tcPr>
            <w:tcW w:type="dxa" w:w="2200"/>
            <w:tcMar>
              <w:top w:type="dxa" w:w="60"/>
              <w:left w:type="dxa" w:w="0"/>
              <w:bottom w:type="dxa" w:w="60"/>
              <w:right w:type="dxa" w:w="10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b/>
                <w:bCs/>
                <w:color w:val="7E22CE"/>
                <w:sz w:val="20"/>
                <w:szCs w:val="20"/>
              </w:rPr>
              <w:t xml:space="preserve">Entrega</w:t>
            </w:r>
          </w:p>
        </w:tc>
        <w:tc>
          <w:tcPr>
            <w:tcW w:type="dxa" w:w="7160"/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pPr>
              <w:spacing w:after="0" w:before="0"/>
            </w:pPr>
            <w:r>
              <w:rPr>
                <w:rFonts w:ascii="Calibri" w:cs="Calibri" w:eastAsia="Calibri" w:hAnsi="Calibri"/>
                <w:color w:val="475569"/>
                <w:sz w:val="20"/>
                <w:szCs w:val="20"/>
              </w:rPr>
              <w:t xml:space="preserve">A convenir con el docente</w:t>
            </w:r>
          </w:p>
        </w:tc>
      </w:tr>
    </w:tbl>
    <w:p>
      <w:pPr>
        <w:spacing w:after="160" w:before="160"/>
      </w:pPr>
      <w:r>
        <w:rPr>
          <w:rFonts w:ascii="Calibri" w:cs="Calibri" w:eastAsia="Calibri" w:hAnsi="Calibri"/>
          <w:b/>
          <w:bCs/>
          <w:color w:val="0F172A"/>
          <w:sz w:val="21"/>
          <w:szCs w:val="21"/>
        </w:rPr>
        <w:t xml:space="preserve">Objetivo. </w:t>
      </w:r>
      <w:r>
        <w:rPr>
          <w:rFonts w:ascii="Calibri" w:cs="Calibri" w:eastAsia="Calibri" w:hAnsi="Calibri"/>
          <w:color w:val="0F172A"/>
          <w:sz w:val="21"/>
          <w:szCs w:val="21"/>
        </w:rPr>
        <w:t xml:space="preserve">Incorporar la dimensión laboral de la empresa y comprobar cómo una liquidación de sueldos se integra a la contabilidad, sin volver a cargar los datos a mano.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7E22CE"/>
          <w:sz w:val="23"/>
          <w:szCs w:val="23"/>
        </w:rPr>
        <w:t xml:space="preserve">Parte A — Explorá Sueldos 360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Ingresá con el mismo correo y registrá la misma empresa que venís usando.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Dá de alta al menos un empleado: categoría del convenio, sueldo básico y fecha de ingreso.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Liquidá el mes y cerrá la liquidación.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Generá el recibo de sueldo.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Copiá el código de sincronización de tu empresa.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047857"/>
          <w:sz w:val="23"/>
          <w:szCs w:val="23"/>
        </w:rPr>
        <w:t xml:space="preserve">Parte B — Importá la liquidación en PyMEZ 360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Entrá a Contabilidad y buscá la tarjeta de Sueldos 360: pegá el código, indicá el período e importá.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Verificá los dos asientos que se generaron: el de la liquidación y el de las cargas patronales.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Mirá el panel de deudas laborales. Vas a ver tres saldos: lo que le debés al personal, lo que le retuviste y lo que aportás como empleador.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Registrá el pago de los sueldos al personal.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Registrá el pago del F.931.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libri" w:cs="Calibri" w:eastAsia="Calibri" w:hAnsi="Calibri"/>
          <w:color w:val="0F172A"/>
          <w:sz w:val="21"/>
          <w:szCs w:val="21"/>
        </w:rPr>
        <w:t xml:space="preserve">Comprobá que las tres deudas quedaron canceladas.</w:t>
      </w:r>
    </w:p>
    <w:tbl>
      <w:tblPr>
        <w:tblW w:type="auto" w:w="100"/>
        <w:tblBorders>
          <w:top w:val="single" w:color="7E22CE" w:sz="6"/>
          <w:left w:val="single" w:color="7E22CE" w:sz="18"/>
          <w:bottom w:val="single" w:color="7E22CE" w:sz="6"/>
          <w:right w:val="single" w:color="7E22CE" w:sz="6"/>
          <w:insideH w:val="none" w:color="FFFFFF" w:sz="0"/>
          <w:insideV w:val="none" w:color="FFFFFF" w:sz="0"/>
        </w:tblBorders>
      </w:tblPr>
      <w:tblGrid>
        <w:gridCol w:w="9360"/>
      </w:tblGrid>
      <w:tr>
        <w:tc>
          <w:tcPr>
            <w:tcW w:type="dxa" w:w="9360"/>
            <w:shd w:fill="FAF5FF" w:color="auto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6B21A8"/>
                <w:sz w:val="23"/>
                <w:szCs w:val="23"/>
              </w:rPr>
              <w:t xml:space="preserve">Qué entregar</w:t>
            </w:r>
          </w:p>
          <w:p>
            <w:pPr>
              <w:spacing w:after="100" w:before="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Formato: </w:t>
            </w: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un PDF o una presentación, armado con capturas de pantalla.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El recibo de sueldo generado.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Los dos asientos de sueldos, en el Libro Diario.</w:t>
            </w:r>
          </w:p>
          <w:p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rPr>
                <w:rFonts w:ascii="Calibri" w:cs="Calibri" w:eastAsia="Calibri" w:hAnsi="Calibri"/>
                <w:color w:val="0F172A"/>
                <w:sz w:val="21"/>
                <w:szCs w:val="21"/>
              </w:rPr>
              <w:t xml:space="preserve">El Libro Mayor de las cuentas Sueldos y Jornales a Pagar, Retenciones Previsionales a Pagar y Cargas Sociales a Pagar, antes y después de registrar los pagos.</w:t>
            </w:r>
          </w:p>
          <w:p>
            <w:pPr>
              <w:spacing w:after="80" w:before="120"/>
            </w:pPr>
            <w:r>
              <w:rPr>
                <w:rFonts w:ascii="Calibri" w:cs="Calibri" w:eastAsia="Calibri" w:hAnsi="Calibri"/>
                <w:b/>
                <w:bCs/>
                <w:color w:val="0F172A"/>
                <w:sz w:val="21"/>
                <w:szCs w:val="21"/>
              </w:rPr>
              <w:t xml:space="preserve">Y respondé en el mismo archivo, en pocos renglones: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6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¿Por qué lo que cobra el empleado es menor que el costo total que asume la empresa?</w:t>
            </w:r>
          </w:p>
          <w:p>
            <w:pPr>
              <w:pStyle w:val="ListParagraph"/>
              <w:numPr>
                <w:ilvl w:val="0"/>
                <w:numId w:val="6"/>
              </w:numPr>
              <w:spacing w:after="0"/>
            </w:pPr>
            <w:r>
              <w:rPr>
                <w:rFonts w:ascii="Calibri" w:cs="Calibri" w:eastAsia="Calibri" w:hAnsi="Calibri"/>
                <w:sz w:val="21"/>
                <w:szCs w:val="21"/>
              </w:rPr>
              <w:t xml:space="preserve">¿A quién se le paga cada una de las tres deudas que quedaron registradas?</w:t>
            </w:r>
          </w:p>
        </w:tc>
      </w:tr>
    </w:tbl>
    <w:p>
      <w:pPr>
        <w:pBdr>
          <w:top w:val="single" w:color="CBD5E1" w:sz="6" w:space="8"/>
        </w:pBdr>
        <w:spacing w:before="320"/>
      </w:pPr>
      <w:r>
        <w:rPr>
          <w:rFonts w:ascii="Calibri" w:cs="Calibri" w:eastAsia="Calibri" w:hAnsi="Calibri"/>
          <w:i/>
          <w:iCs/>
          <w:color w:val="475569"/>
          <w:sz w:val="18"/>
          <w:szCs w:val="18"/>
        </w:rPr>
        <w:t xml:space="preserve">GEST-AR es un simulador didáctico. Los datos son ficticios y no tienen validez fiscal ni legal.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6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46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lowerLetter"/>
      <w:lvlText w:val="%1)"/>
      <w:lvlJc w:val="star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2026-08-28T18:12:46.188Z</dcterms:created>
  <dcterms:modified xsi:type="dcterms:W3CDTF">2026-08-28T18:12:46.190Z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