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 w:after="90" w:before="0" w:line="290"/>
      </w:pPr>
      <w:r>
        <w:rPr>
          <w:rFonts w:ascii="Segoe UI" w:cs="Segoe UI" w:eastAsia="Segoe UI" w:hAnsi="Segoe UI"/>
          <w:b/>
          <w:bCs/>
          <w:i w:val="false"/>
          <w:iCs w:val="false"/>
          <w:caps/>
          <w:color w:val="64748B"/>
          <w:spacing w:val="14"/>
          <w:sz w:val="16"/>
          <w:szCs w:val="16"/>
          <w:lang w:val="es-AR"/>
        </w:rPr>
        <w:t xml:space="preserve">Material complementario de la presentación</w:t>
      </w:r>
    </w:p>
    <w:p>
      <w:pPr>
        <w:keepNext w:val="false"/>
        <w:keepLines w:val="false"/>
        <w:widowControl/>
        <w:spacing w:after="80" w:before="0" w:line="34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40"/>
          <w:szCs w:val="40"/>
          <w:lang w:val="es-AR"/>
        </w:rPr>
        <w:t xml:space="preserve">GEST-AR: cómo está pensado el ecosistema</w:t>
      </w:r>
    </w:p>
    <w:p>
      <w:pPr>
        <w:keepNext w:val="false"/>
        <w:keepLines w:val="false"/>
        <w:widowControl/>
        <w:pBdr>
          <w:bottom w:val="single" w:color="0F172A" w:sz="8" w:space="10"/>
        </w:pBdr>
        <w:spacing w:after="15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64748B"/>
          <w:sz w:val="23"/>
          <w:szCs w:val="23"/>
          <w:lang w:val="es-AR"/>
        </w:rPr>
        <w:t xml:space="preserve">El enfoque neuro-tecno-pedagógico y las aplicaciones que lo componen</w:t>
      </w:r>
    </w:p>
    <w:p>
      <w:pPr>
        <w:keepNext w:val="false"/>
        <w:keepLines w:val="false"/>
        <w:widowControl/>
        <w:spacing w:after="30" w:before="0" w:line="2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64748B"/>
          <w:sz w:val="17"/>
          <w:szCs w:val="17"/>
          <w:lang w:val="es-AR"/>
        </w:rPr>
        <w:t xml:space="preserve">Juan Manuel Gómez  ·  Profesor en Ciencias Económicas  ·  Licenciado en Educación</w:t>
      </w:r>
    </w:p>
    <w:p>
      <w:pPr>
        <w:keepNext w:val="false"/>
        <w:keepLines w:val="false"/>
        <w:widowControl/>
        <w:spacing w:after="60" w:before="0" w:line="2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64748B"/>
          <w:sz w:val="17"/>
          <w:szCs w:val="17"/>
          <w:lang w:val="es-AR"/>
        </w:rPr>
        <w:t xml:space="preserve">Escuela Normal Superior N.º 9 y Anexo Comercial Juan XXIII — Wanda, Misiones  ·  2026</w:t>
      </w:r>
    </w:p>
    <w:p>
      <w:pPr>
        <w:pStyle w:val="Heading1"/>
        <w:keepNext/>
        <w:keepLines/>
        <w:pBdr>
          <w:bottom w:val="single" w:color="E2E8F0" w:sz="6" w:space="8"/>
        </w:pBdr>
        <w:spacing w:after="170" w:before="380" w:line="30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2563EB"/>
          <w:sz w:val="28"/>
          <w:szCs w:val="28"/>
          <w:lang w:val="es-AR"/>
        </w:rPr>
        <w:t xml:space="preserve">1  </w:t>
      </w: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8"/>
          <w:szCs w:val="28"/>
          <w:lang w:val="es-AR"/>
        </w:rPr>
        <w:t xml:space="preserve">Punto de partida</w:t>
      </w: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La gestión administrativa suele enseñarse en dos tiempos separados: primero la definición —qué es el IVA, qué es un asiento, qué es un recibo de sueldo— y bastante después, si el tiempo alcanza, la práctica. El resultado conocido es un estudiante capaz de explicar correctamente un concepto que no sabría por dónde empezar a ejecutar.</w:t>
      </w: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GEST-AR invierte ese orden. El estudiante entra a un entorno donde ya hay una empresa que atender, y los conceptos aparecen cuando la operación los necesita: se explica qué es un punto de venta en el momento exacto en que el sistema no lo deja facturar sin tenerlo habilitado. La definición llega como respuesta a un problema que el estudiante ya tiene, y no antes.</w:t>
      </w: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Este material acompaña la presentación de la plataforma. Desarrolla dos cosas: por qué el ecosistema está diseñado como está —el enfoque neuro-tecno-pedagógico— y en qué consiste cada aplicación que lo integra.</w:t>
      </w:r>
    </w:p>
    <w:p>
      <w:pPr>
        <w:pStyle w:val="Heading1"/>
        <w:keepNext/>
        <w:keepLines/>
        <w:pBdr>
          <w:bottom w:val="single" w:color="E2E8F0" w:sz="6" w:space="8"/>
        </w:pBdr>
        <w:spacing w:after="170" w:before="380" w:line="30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9333EA"/>
          <w:sz w:val="28"/>
          <w:szCs w:val="28"/>
          <w:lang w:val="es-AR"/>
        </w:rPr>
        <w:t xml:space="preserve">2  </w:t>
      </w: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8"/>
          <w:szCs w:val="28"/>
          <w:lang w:val="es-AR"/>
        </w:rPr>
        <w:t xml:space="preserve">El enfoque neuro-tecno-pedagógico</w:t>
      </w: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No alcanza con digitalizar el contenido: un apunte en pantalla sigue siendo un apunte. Cada recurso de la plataforma existe porque activa un mecanismo cognitivo concreto. El enfoque cruza tres planos que, por separado, no producen aprendizaje.</w:t>
      </w:r>
    </w:p>
    <w:p>
      <w:pPr>
        <w:pStyle w:val="Heading2"/>
        <w:keepNext/>
        <w:keepLines/>
        <w:widowControl/>
        <w:spacing w:after="90" w:before="240" w:line="29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9333EA"/>
          <w:sz w:val="22"/>
          <w:szCs w:val="22"/>
          <w:lang w:val="es-AR"/>
        </w:rPr>
        <w:t xml:space="preserve">Neuro — cómo aprende el cerebro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La atención es un recurso limitado: se sostiene con novedad y desafío, no con repetición.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Lo que se decide se recuerda mejor que lo que se escucha: la acción consolida la memoria.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El error sin costo real es un momento de alta plasticidad: corregir lo que uno mismo hizo deja una huella que la explicación anticipada no deja.</w:t>
      </w:r>
    </w:p>
    <w:p>
      <w:pPr>
        <w:pStyle w:val="Heading2"/>
        <w:keepNext/>
        <w:keepLines/>
        <w:widowControl/>
        <w:spacing w:after="90" w:before="240" w:line="29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59669"/>
          <w:sz w:val="22"/>
          <w:szCs w:val="22"/>
          <w:lang w:val="es-AR"/>
        </w:rPr>
        <w:t xml:space="preserve">Tecno — un entorno que responde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Simula consecuencias reales sin riesgo real: se puede equivocar y volver a intentar.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La respuesta es inmediata. Entre decidir y ver el efecto pasan segundos, no una semana hasta la devolución del docente.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Los datos persisten y se integran entre aplicaciones: lo que hace hoy le condiciona el mes que viene.</w:t>
      </w:r>
    </w:p>
    <w:p>
      <w:pPr>
        <w:pStyle w:val="Heading2"/>
        <w:keepNext/>
        <w:keepLines/>
        <w:widowControl/>
        <w:spacing w:after="90" w:before="240" w:line="29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2563EB"/>
          <w:sz w:val="22"/>
          <w:szCs w:val="22"/>
          <w:lang w:val="es-AR"/>
        </w:rPr>
        <w:t xml:space="preserve">Pedagógico — una secuencia con sentido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Andamiaje: cada etapa habilita la siguiente, para no saturar la memoria de trabajo.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Aprendizaje situado: la tarea es la del puesto de trabajo, no una versión escolar de esa tarea.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Evaluación auténtica: se evalúa la operación completa, no la definición memorizada.</w:t>
      </w:r>
    </w:p>
    <w:p>
      <w:pPr>
        <w:pStyle w:val="Heading2"/>
        <w:keepNext/>
        <w:keepLines/>
        <w:widowControl/>
        <w:spacing w:after="90" w:before="240" w:line="29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2"/>
          <w:szCs w:val="22"/>
          <w:lang w:val="es-AR"/>
        </w:rPr>
        <w:t xml:space="preserve">El bucle que sostiene la atención</w:t>
      </w:r>
    </w:p>
    <w:p>
      <w:pPr>
        <w:keepNext/>
        <w:keepLines w:val="false"/>
        <w:widowControl/>
        <w:spacing w:after="13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Los tres planos se articulan en un ciclo que se repite en cada actividad de la plataforma: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keepNext w:val="false"/>
              <w:keepLines w:val="false"/>
              <w:widowControl/>
              <w:spacing w:after="4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2563EB"/>
                <w:sz w:val="17"/>
                <w:szCs w:val="17"/>
                <w:lang w:val="es-AR"/>
              </w:rPr>
              <w:t xml:space="preserve">1</w:t>
            </w:r>
          </w:p>
          <w:p>
            <w:pPr>
              <w:keepNext w:val="false"/>
              <w:keepLines w:val="false"/>
              <w:widowControl/>
              <w:spacing w:after="4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Desafío</w:t>
            </w:r>
          </w:p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4748B"/>
                <w:sz w:val="16"/>
                <w:szCs w:val="16"/>
                <w:lang w:val="es-AR"/>
              </w:rPr>
              <w:t xml:space="preserve">Una consigna con dificultad justa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keepNext w:val="false"/>
              <w:keepLines w:val="false"/>
              <w:widowControl/>
              <w:spacing w:after="4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2563EB"/>
                <w:sz w:val="17"/>
                <w:szCs w:val="17"/>
                <w:lang w:val="es-AR"/>
              </w:rPr>
              <w:t xml:space="preserve">2</w:t>
            </w:r>
          </w:p>
          <w:p>
            <w:pPr>
              <w:keepNext w:val="false"/>
              <w:keepLines w:val="false"/>
              <w:widowControl/>
              <w:spacing w:after="4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Decisión</w:t>
            </w:r>
          </w:p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4748B"/>
                <w:sz w:val="16"/>
                <w:szCs w:val="16"/>
                <w:lang w:val="es-AR"/>
              </w:rPr>
              <w:t xml:space="preserve">El estudiante elige y se compromete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keepNext w:val="false"/>
              <w:keepLines w:val="false"/>
              <w:widowControl/>
              <w:spacing w:after="4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2563EB"/>
                <w:sz w:val="17"/>
                <w:szCs w:val="17"/>
                <w:lang w:val="es-AR"/>
              </w:rPr>
              <w:t xml:space="preserve">3</w:t>
            </w:r>
          </w:p>
          <w:p>
            <w:pPr>
              <w:keepNext w:val="false"/>
              <w:keepLines w:val="false"/>
              <w:widowControl/>
              <w:spacing w:after="4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Consecuencia</w:t>
            </w:r>
          </w:p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4748B"/>
                <w:sz w:val="16"/>
                <w:szCs w:val="16"/>
                <w:lang w:val="es-AR"/>
              </w:rPr>
              <w:t xml:space="preserve">El sistema reacciona al instante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keepNext w:val="false"/>
              <w:keepLines w:val="false"/>
              <w:widowControl/>
              <w:spacing w:after="4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2563EB"/>
                <w:sz w:val="17"/>
                <w:szCs w:val="17"/>
                <w:lang w:val="es-AR"/>
              </w:rPr>
              <w:t xml:space="preserve">4</w:t>
            </w:r>
          </w:p>
          <w:p>
            <w:pPr>
              <w:keepNext w:val="false"/>
              <w:keepLines w:val="false"/>
              <w:widowControl/>
              <w:spacing w:after="4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Feedback</w:t>
            </w:r>
          </w:p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4748B"/>
                <w:sz w:val="16"/>
                <w:szCs w:val="16"/>
                <w:lang w:val="es-AR"/>
              </w:rPr>
              <w:t xml:space="preserve">Ve el error y entiende por qué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top"/>
          </w:tcPr>
          <w:p>
            <w:pPr>
              <w:keepNext w:val="false"/>
              <w:keepLines w:val="false"/>
              <w:widowControl/>
              <w:spacing w:after="4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2563EB"/>
                <w:sz w:val="17"/>
                <w:szCs w:val="17"/>
                <w:lang w:val="es-AR"/>
              </w:rPr>
              <w:t xml:space="preserve">5</w:t>
            </w:r>
          </w:p>
          <w:p>
            <w:pPr>
              <w:keepNext w:val="false"/>
              <w:keepLines w:val="false"/>
              <w:widowControl/>
              <w:spacing w:after="40" w:before="0" w:line="2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8"/>
                <w:szCs w:val="18"/>
                <w:lang w:val="es-AR"/>
              </w:rPr>
              <w:t xml:space="preserve">Logro</w:t>
            </w:r>
          </w:p>
          <w:p>
            <w:pPr>
              <w:keepNext w:val="false"/>
              <w:keepLines w:val="false"/>
              <w:widowControl/>
              <w:spacing w:after="0" w:before="0" w:line="23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64748B"/>
                <w:sz w:val="16"/>
                <w:szCs w:val="16"/>
                <w:lang w:val="es-AR"/>
              </w:rPr>
              <w:t xml:space="preserve">Refuerza y habilita el desafío siguiente</w:t>
            </w:r>
          </w:p>
        </w:tc>
      </w:tr>
    </w:tbl>
    <w:p>
      <w:pPr>
        <w:keepNext/>
        <w:spacing w:after="140"/>
      </w:pP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Cerrado el bucle, vuelve a empezar con más complejidad, apoyado en lo que ya consolidó. Esa es la razón por la que el estudiante sostiene la tarea: no porque la plataforma lo entretenga, sino porque cada vuelta le devuelve una pregunta un poco mejor que la anterior.</w:t>
      </w:r>
    </w:p>
    <w:p>
      <w:pPr>
        <w:pStyle w:val="Heading2"/>
        <w:keepNext/>
        <w:keepLines/>
        <w:widowControl/>
        <w:spacing w:after="90" w:before="240" w:line="29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2"/>
          <w:szCs w:val="22"/>
          <w:lang w:val="es-AR"/>
        </w:rPr>
        <w:t xml:space="preserve">Cada recurso responde a un mecanismo, no a una moda</w:t>
      </w:r>
    </w:p>
    <w:p>
      <w:pPr>
        <w:keepNext/>
        <w:keepLines w:val="false"/>
        <w:widowControl/>
        <w:spacing w:after="13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La gamificación de la plataforma no es decorativa. Cada elemento se justifica por lo que provoca:</w:t>
      </w:r>
    </w:p>
    <w:tbl>
      <w:tblPr>
        <w:tblW w:type="pct" w:w="100%"/>
        <w:tblBorders>
          <w:top w:val="single" w:color="E2E8F0" w:sz="2"/>
          <w:left w:val="none" w:color="FFFFFF" w:sz="0"/>
          <w:bottom w:val="single" w:color="E2E8F0" w:sz="2"/>
          <w:right w:val="none" w:color="FFFFFF" w:sz="0"/>
          <w:insideH w:val="single" w:color="E2E8F0" w:sz="2"/>
          <w:insideV w:val="none" w:color="FFFFFF" w:sz="0"/>
        </w:tblBorders>
      </w:tblPr>
      <w:tblGrid>
        <w:gridCol w:w="3200"/>
        <w:gridCol w:w="6000"/>
      </w:tblGrid>
      <w:tr>
        <w:trPr>
          <w:cantSplit/>
          <w:tblHeader/>
        </w:trPr>
        <w:tc>
          <w:tcPr>
            <w:shd w:fill="F1F5F9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4748B"/>
                <w:spacing w:val="12"/>
                <w:sz w:val="16"/>
                <w:szCs w:val="16"/>
                <w:lang w:val="es-AR"/>
              </w:rPr>
              <w:t xml:space="preserve">Recurso</w:t>
            </w:r>
          </w:p>
        </w:tc>
        <w:tc>
          <w:tcPr>
            <w:shd w:fill="F1F5F9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4748B"/>
                <w:spacing w:val="12"/>
                <w:sz w:val="16"/>
                <w:szCs w:val="16"/>
                <w:lang w:val="es-AR"/>
              </w:rPr>
              <w:t xml:space="preserve">Mecanismo cognitivo que activa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  <w:lang w:val="es-AR"/>
              </w:rPr>
              <w:t xml:space="preserve">Puntos, niveles y desafíos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Convierten una tarea larga en metas cortas: sostienen la atención.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  <w:lang w:val="es-AR"/>
              </w:rPr>
              <w:t xml:space="preserve">Etapas que se desbloquean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Dosifican la carga cognitiva: nadie liquida IVA antes de saber facturar.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  <w:lang w:val="es-AR"/>
              </w:rPr>
              <w:t xml:space="preserve">El error no tiene costo real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Habilita el error productivo: se explora sin miedo a arruinar nada.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  <w:lang w:val="es-AR"/>
              </w:rPr>
              <w:t xml:space="preserve">Datos que se arrastran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Fuerzan la transferencia: la venta de hoy reaparece en la declaración jurada del mes.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  <w:lang w:val="es-AR"/>
              </w:rPr>
              <w:t xml:space="preserve">Comprobantes y libros con formato real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Acortan la distancia entre la tarea escolar y la tarea profesional.</w:t>
            </w:r>
          </w:p>
        </w:tc>
      </w:tr>
    </w:tbl>
    <w:p>
      <w:pPr>
        <w:keepNext/>
        <w:spacing w:after="150"/>
      </w:pPr>
    </w:p>
    <w:tbl>
      <w:tblPr>
        <w:tblW w:type="pct" w:w="100%"/>
        <w:tblBorders>
          <w:top w:val="none" w:color="FFFFFF" w:sz="0"/>
          <w:left w:val="single" w:color="9333E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AFC" w:color="auto" w:val="clear"/>
            <w:tcMar>
              <w:top w:type="dxa" w:w="170"/>
              <w:left w:type="dxa" w:w="220"/>
              <w:bottom w:type="dxa" w:w="170"/>
              <w:right w:type="dxa" w:w="200"/>
            </w:tcMar>
          </w:tcPr>
          <w:p>
            <w:pPr>
              <w:keepNext w:val="false"/>
              <w:keepLines w:val="false"/>
              <w:widowControl/>
              <w:spacing w:after="60" w:before="0" w:line="27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  <w:lang w:val="es-AR"/>
              </w:rPr>
              <w:t xml:space="preserve">No se gamifica el premio: se gamifica el proceso de pensar.</w:t>
            </w:r>
          </w:p>
          <w:p>
            <w:pPr>
              <w:keepNext w:val="false"/>
              <w:keepLines w:val="false"/>
              <w:widowControl/>
              <w:spacing w:after="0" w:before="0" w:line="265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El puntaje no reemplaza al contenido: ordena el recorrido, marca el progreso y le devuelve al estudiante una pregunta mejor que la anterior.</w:t>
            </w:r>
          </w:p>
        </w:tc>
      </w:tr>
    </w:tbl>
    <w:p>
      <w:pPr>
        <w:pStyle w:val="Heading1"/>
        <w:keepNext/>
        <w:keepLines/>
        <w:pBdr>
          <w:bottom w:val="single" w:color="E2E8F0" w:sz="6" w:space="8"/>
        </w:pBdr>
        <w:spacing w:after="170" w:before="380" w:line="30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59669"/>
          <w:sz w:val="28"/>
          <w:szCs w:val="28"/>
          <w:lang w:val="es-AR"/>
        </w:rPr>
        <w:t xml:space="preserve">3  </w:t>
      </w: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8"/>
          <w:szCs w:val="28"/>
          <w:lang w:val="es-AR"/>
        </w:rPr>
        <w:t xml:space="preserve">Las aplicaciones del ecosistema</w:t>
      </w: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Tres simuladores sostienen el ciclo administrativo completo. Cada uno cubre un dominio y puede usarse por separado, pero están pensados para trabajar sobre una misma empresa ficticia y compartir sus datos.</w:t>
      </w:r>
    </w:p>
    <w:p>
      <w:pPr>
        <w:keepNext/>
        <w:spacing w:after="60"/>
      </w:pP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2563E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keepNext/>
              <w:keepLines w:val="false"/>
              <w:widowControl/>
              <w:spacing w:after="3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  <w:lang w:val="es-AR"/>
              </w:rPr>
              <w:t xml:space="preserve">TRIBUT.AR</w:t>
            </w:r>
          </w:p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El marco fiscal donde todo empieza</w:t>
            </w:r>
          </w:p>
        </w:tc>
      </w:tr>
      <w:tr>
        <w:trPr>
          <w:cantSplit/>
        </w:trPr>
        <w:tc>
          <w:tcPr>
            <w:tcMar>
              <w:top w:type="dxa" w:w="170"/>
              <w:left w:type="dxa" w:w="200"/>
              <w:bottom w:type="dxa" w:w="150"/>
              <w:right w:type="dxa" w:w="200"/>
            </w:tcMar>
          </w:tcPr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Simula la relación entre la empresa y el fisco. Es el punto de partida del recorrido: sin constituir la empresa y definir su situación fiscal, no hay operación posible aguas abajo.</w:t>
            </w:r>
          </w:p>
          <w:p>
            <w:pPr>
              <w:keepNext w:val="false"/>
              <w:keepLines w:val="false"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2563EB"/>
                <w:spacing w:val="14"/>
                <w:sz w:val="16"/>
                <w:szCs w:val="16"/>
                <w:lang w:val="es-AR"/>
              </w:rPr>
              <w:t xml:space="preserve">Qué hace el estudiante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Da de alta una empresa ficticia: datos registrales, domicilio fiscal, actividad y régimen (monotributo o régimen general).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Inscribe los impuestos nacionales y provinciales que le corresponden según esa elección.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Habilita el punto de venta que después le permitirá facturar.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Liquida el IVA mes a mes, calcula el impuesto a las Ganancias y presenta la declaración jurada de Ingresos Brutos, modelada sobre la normativa de Misiones.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Genera los VEP y registra los pagos en la billetera fiscal.</w:t>
            </w:r>
          </w:p>
          <w:p>
            <w:pPr>
              <w:keepNext w:val="false"/>
              <w:keepLines w:val="false"/>
              <w:widowControl/>
              <w:spacing w:after="0" w:before="120" w:line="26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  <w:lang w:val="es-AR"/>
              </w:rPr>
              <w:t xml:space="preserve">Qué concepto instala: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que la obligación fiscal no es un trámite de fin de año, sino la consecuencia directa de cada operación que la empresa realiza.</w:t>
            </w:r>
          </w:p>
        </w:tc>
      </w:tr>
    </w:tbl>
    <w:p>
      <w:pPr>
        <w:keepNext/>
        <w:spacing w:after="180"/>
      </w:pP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05966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keepNext/>
              <w:keepLines w:val="false"/>
              <w:widowControl/>
              <w:spacing w:after="3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  <w:lang w:val="es-AR"/>
              </w:rPr>
              <w:t xml:space="preserve">PyMEZ 360</w:t>
            </w:r>
          </w:p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La operación diaria de la empresa</w:t>
            </w:r>
          </w:p>
        </w:tc>
      </w:tr>
      <w:tr>
        <w:trPr>
          <w:cantSplit/>
        </w:trPr>
        <w:tc>
          <w:tcPr>
            <w:tcMar>
              <w:top w:type="dxa" w:w="170"/>
              <w:left w:type="dxa" w:w="200"/>
              <w:bottom w:type="dxa" w:w="150"/>
              <w:right w:type="dxa" w:w="200"/>
            </w:tcMar>
          </w:tcPr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Simula la gestión comercial y contable del día a día. Es donde ocurren los hechos económicos y donde se ve, en el mismo instante, el asiento que cada uno genera.</w:t>
            </w:r>
          </w:p>
          <w:p>
            <w:pPr>
              <w:keepNext w:val="false"/>
              <w:keepLines w:val="false"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059669"/>
                <w:spacing w:val="14"/>
                <w:sz w:val="16"/>
                <w:szCs w:val="16"/>
                <w:lang w:val="es-AR"/>
              </w:rPr>
              <w:t xml:space="preserve">Qué hace el estudiante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Emite facturas A, B y C, y registra compras con cómputo del crédito fiscal.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Administra clientes, proveedores, stock, cobros, pagos y tesorería (caja y bancos).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Registra las retenciones de Ingresos Brutos sufridas en los cobros.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Consulta el Libro Diario, el Mayor, el balance de sumas y saldos y el resultado del período.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Devenga Ingresos Brutos con cada venta y cancela el impuesto desde el panel correspondiente.</w:t>
            </w:r>
          </w:p>
          <w:p>
            <w:pPr>
              <w:keepNext w:val="false"/>
              <w:keepLines w:val="false"/>
              <w:widowControl/>
              <w:spacing w:after="0" w:before="120" w:line="26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  <w:lang w:val="es-AR"/>
              </w:rPr>
              <w:t xml:space="preserve">Qué concepto instala: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que la contabilidad no es un ejercicio en papel. El asiento es la huella de una decisión que el estudiante acaba de tomar.</w:t>
            </w:r>
          </w:p>
        </w:tc>
      </w:tr>
    </w:tbl>
    <w:p>
      <w:pPr>
        <w:keepNext/>
        <w:spacing w:after="180"/>
      </w:pP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9333E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keepNext/>
              <w:keepLines w:val="false"/>
              <w:widowControl/>
              <w:spacing w:after="3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24"/>
                <w:szCs w:val="24"/>
                <w:lang w:val="es-AR"/>
              </w:rPr>
              <w:t xml:space="preserve">Sueldos 360</w:t>
            </w:r>
          </w:p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  <w:lang w:val="es-AR"/>
              </w:rPr>
              <w:t xml:space="preserve">Las relaciones laborales</w:t>
            </w:r>
          </w:p>
        </w:tc>
      </w:tr>
      <w:tr>
        <w:trPr>
          <w:cantSplit/>
        </w:trPr>
        <w:tc>
          <w:tcPr>
            <w:tcMar>
              <w:top w:type="dxa" w:w="170"/>
              <w:left w:type="dxa" w:w="200"/>
              <w:bottom w:type="dxa" w:w="150"/>
              <w:right w:type="dxa" w:w="200"/>
            </w:tcMar>
          </w:tcPr>
          <w:p>
            <w:pPr>
              <w:keepNext w:val="false"/>
              <w:keepLines w:val="false"/>
              <w:widowControl/>
              <w:spacing w:after="140" w:before="0" w:line="29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Simula la administración de la nómina, desde el alta del trabajador hasta la obligación con el organismo recaudador.</w:t>
            </w:r>
          </w:p>
          <w:p>
            <w:pPr>
              <w:keepNext w:val="false"/>
              <w:keepLines w:val="false"/>
              <w:widowControl/>
              <w:spacing w:after="9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9333EA"/>
                <w:spacing w:val="14"/>
                <w:sz w:val="16"/>
                <w:szCs w:val="16"/>
                <w:lang w:val="es-AR"/>
              </w:rPr>
              <w:t xml:space="preserve">Qué hace el estudiante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Da de alta empleados por categoría del convenio colectivo.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Liquida el mes: remuneraciones, descuentos del trabajador (jubilación, obra social) y contribuciones patronales.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Emite e imprime los recibos de sueldo.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21"/>
                <w:szCs w:val="21"/>
                <w:lang w:val="es-AR"/>
              </w:rPr>
              <w:t xml:space="preserve">Obtiene la información que conforma la declaración de cargas sociales (F.931).</w:t>
            </w:r>
          </w:p>
          <w:p>
            <w:pPr>
              <w:keepNext w:val="false"/>
              <w:keepLines w:val="false"/>
              <w:widowControl/>
              <w:spacing w:after="0" w:before="120" w:line="26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  <w:lang w:val="es-AR"/>
              </w:rPr>
              <w:t xml:space="preserve">Qué concepto instala: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que el costo laboral no es el sueldo de bolsillo, y que cada descuento tiene un destinatario y un vencimiento.</w:t>
            </w:r>
          </w:p>
        </w:tc>
      </w:tr>
    </w:tbl>
    <w:p>
      <w:pPr>
        <w:pStyle w:val="Heading2"/>
        <w:keepNext/>
        <w:keepLines/>
        <w:widowControl/>
        <w:spacing w:after="90" w:before="240" w:line="29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2"/>
          <w:szCs w:val="22"/>
          <w:lang w:val="es-AR"/>
        </w:rPr>
        <w:t xml:space="preserve">Cómo se integran: el dato que viaja</w:t>
      </w: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Lo que convierte estas aplicaciones en un ecosistema —y no en tres ejercicios independientes— es que la información pasa de una a otra, igual que en una empresa real.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1"/>
          <w:szCs w:val="21"/>
          <w:lang w:val="es-AR"/>
        </w:rPr>
        <w:t xml:space="preserve">De TRIBUT.AR a PyMEZ 360.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TRIBUT.AR emite un código de punto de venta. Hasta que el estudiante lo pega en PyMEZ, la aplicación no le permite registrar ventas. El bloqueo es deliberado: reproduce que no se puede facturar sin autorización fiscal, y es lo que lo obliga a volver al trámite en lugar de saltearlo.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1"/>
          <w:szCs w:val="21"/>
          <w:lang w:val="es-AR"/>
        </w:rPr>
        <w:t xml:space="preserve">De PyMEZ 360 a TRIBUT.AR.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Un código de sincronización permite importar las ventas del período y precargar la base imponible del IVA y de Ingresos Brutos. La declaración jurada sale de lo que el estudiante efectivamente vendió, no de un enunciado inventado por el docente.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1"/>
          <w:szCs w:val="21"/>
          <w:lang w:val="es-AR"/>
        </w:rPr>
        <w:t xml:space="preserve">De Sueldos 360 a PyMEZ 360.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La liquidación del mes se importa y se transforma en los asientos de devengamiento de sueldos y de cargas patronales.</w:t>
      </w:r>
    </w:p>
    <w:p>
      <w:pPr>
        <w:keepNext/>
        <w:spacing w:after="100"/>
      </w:pP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La consecuencia pedagógica es la más importante del diseño: no hay forma de resolver bien la última etapa si las anteriores están mal. El error no se corrige con una marca del docente en el margen; aparece solo, más adelante, en el número que no cierra.</w:t>
      </w:r>
    </w:p>
    <w:p>
      <w:pPr>
        <w:pStyle w:val="Heading2"/>
        <w:keepNext/>
        <w:keepLines/>
        <w:widowControl/>
        <w:spacing w:after="90" w:before="240" w:line="29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2"/>
          <w:szCs w:val="22"/>
          <w:lang w:val="es-AR"/>
        </w:rPr>
        <w:t xml:space="preserve">Puertas de entrada y recursos de apoyo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1"/>
          <w:szCs w:val="21"/>
          <w:lang w:val="es-AR"/>
        </w:rPr>
        <w:t xml:space="preserve">Gestión 360 Emprende.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Gestión administrativa en su versión simple, para proyectos escolares y microemprendimientos: registro de operaciones, ingresos y egresos, análisis de costos y toma de decisiones comerciales. Es la puerta de entrada cuando todavía no hay régimen fiscal ni nómina que administrar.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1"/>
          <w:szCs w:val="21"/>
          <w:lang w:val="es-AR"/>
        </w:rPr>
        <w:t xml:space="preserve">Campus Virtual GEST-AR.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Cursos autoasistidos organizados en módulos progresivos, con actividades de verificación, recursos digitales y posibles certificaciones. Es donde se apoya el marco teórico que los simuladores ponen a prueba.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28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1"/>
          <w:szCs w:val="21"/>
          <w:lang w:val="es-AR"/>
        </w:rPr>
        <w:t xml:space="preserve">Emprendeplan.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Guía en nueve secciones —idea, mercado, estrategia comercial, plan operativo, plan financiero, equipo, cronograma, riesgos e indicadores— para formular el proyecto antes de gestionarlo. Se completa en el navegador y se exporta en PDF.</w:t>
      </w:r>
    </w:p>
    <w:p>
      <w:pPr>
        <w:pStyle w:val="Heading1"/>
        <w:keepNext/>
        <w:keepLines/>
        <w:pBdr>
          <w:bottom w:val="single" w:color="E2E8F0" w:sz="6" w:space="8"/>
        </w:pBdr>
        <w:spacing w:after="170" w:before="380" w:line="30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B45309"/>
          <w:sz w:val="28"/>
          <w:szCs w:val="28"/>
          <w:lang w:val="es-AR"/>
        </w:rPr>
        <w:t xml:space="preserve">4  </w:t>
      </w: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8"/>
          <w:szCs w:val="28"/>
          <w:lang w:val="es-AR"/>
        </w:rPr>
        <w:t xml:space="preserve">El motor contable: de la operación al asiento</w:t>
      </w: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Detrás de las tres aplicaciones hay un solo motor: cada hecho económico se convierte en un asiento por partida doble. El estudiante registra una venta y ve, en el mismo momento, el registro que ese hecho produce.</w:t>
      </w:r>
    </w:p>
    <w:p>
      <w:pPr>
        <w:keepNext/>
        <w:spacing w:after="60"/>
      </w:pPr>
    </w:p>
    <w:tbl>
      <w:tblPr>
        <w:tblW w:type="pct" w:w="100%"/>
        <w:tblBorders>
          <w:top w:val="single" w:color="E2E8F0" w:sz="2"/>
          <w:left w:val="none" w:color="FFFFFF" w:sz="0"/>
          <w:bottom w:val="single" w:color="E2E8F0" w:sz="2"/>
          <w:right w:val="none" w:color="FFFFFF" w:sz="0"/>
          <w:insideH w:val="single" w:color="E2E8F0" w:sz="2"/>
          <w:insideV w:val="none" w:color="FFFFFF" w:sz="0"/>
        </w:tblBorders>
      </w:tblPr>
      <w:tblGrid>
        <w:gridCol w:w="3200"/>
        <w:gridCol w:w="6000"/>
      </w:tblGrid>
      <w:tr>
        <w:trPr>
          <w:cantSplit/>
          <w:tblHeader/>
        </w:trPr>
        <w:tc>
          <w:tcPr>
            <w:shd w:fill="F1F5F9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4748B"/>
                <w:spacing w:val="12"/>
                <w:sz w:val="16"/>
                <w:szCs w:val="16"/>
                <w:lang w:val="es-AR"/>
              </w:rPr>
              <w:t xml:space="preserve">Ejemplo — venta a crédito con IVA</w:t>
            </w:r>
          </w:p>
        </w:tc>
        <w:tc>
          <w:tcPr>
            <w:shd w:fill="F1F5F9" w:color="auto" w:val="clear"/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keepNext/>
              <w:keepLines w:val="false"/>
              <w:widowControl/>
              <w:spacing w:after="0" w:before="0" w:line="29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/>
                <w:color w:val="64748B"/>
                <w:spacing w:val="12"/>
                <w:sz w:val="16"/>
                <w:szCs w:val="16"/>
                <w:lang w:val="es-AR"/>
              </w:rPr>
              <w:t xml:space="preserve">Importe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  <w:lang w:val="es-AR"/>
              </w:rPr>
              <w:t xml:space="preserve">Debe — Deudores por ventas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121.000,00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  <w:lang w:val="es-AR"/>
              </w:rPr>
              <w:t xml:space="preserve">Haber — Ventas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100.000,00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  <w:lang w:val="es-AR"/>
              </w:rPr>
              <w:t xml:space="preserve">Haber — IVA Débito Fiscal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keepNext w:val="false"/>
              <w:keepLines w:val="false"/>
              <w:widowControl/>
              <w:spacing w:after="0" w:before="0" w:line="26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21.000,00</w:t>
            </w:r>
          </w:p>
        </w:tc>
      </w:tr>
    </w:tbl>
    <w:p>
      <w:pPr>
        <w:keepNext/>
        <w:spacing w:after="150"/>
      </w:pP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De ahí en más, todo lo que el estudiante puede mirar es consecuencia de lo que hizo: el Libro Diario con los asientos en orden, el Mayor con el saldo de cada cuenta, el balance de sumas y saldos, el resultado del período y las declaraciones juradas.</w:t>
      </w:r>
    </w:p>
    <w:p>
      <w:pPr>
        <w:keepNext/>
        <w:spacing w:after="60"/>
      </w:pPr>
    </w:p>
    <w:tbl>
      <w:tblPr>
        <w:tblW w:type="pct" w:w="100%"/>
        <w:tblBorders>
          <w:top w:val="none" w:color="FFFFFF" w:sz="0"/>
          <w:left w:val="single" w:color="B4530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AFC" w:color="auto" w:val="clear"/>
            <w:tcMar>
              <w:top w:type="dxa" w:w="170"/>
              <w:left w:type="dxa" w:w="220"/>
              <w:bottom w:type="dxa" w:w="170"/>
              <w:right w:type="dxa" w:w="200"/>
            </w:tcMar>
          </w:tcPr>
          <w:p>
            <w:pPr>
              <w:keepNext w:val="false"/>
              <w:keepLines w:val="false"/>
              <w:widowControl/>
              <w:spacing w:after="100" w:before="0" w:line="27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22"/>
                <w:szCs w:val="22"/>
                <w:lang w:val="es-AR"/>
              </w:rPr>
              <w:t xml:space="preserve">La obligación nace con el hecho que la genera y sólo desaparece cuando se paga.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  <w:lang w:val="es-AR"/>
              </w:rPr>
              <w:t xml:space="preserve">IVA: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se devenga en cada venta y en cada compra → se liquida el período → se paga, o queda un saldo técnico a favor.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  <w:lang w:val="es-AR"/>
              </w:rPr>
              <w:t xml:space="preserve">Ingresos Brutos: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nace con la venta, sobre base neta de IVA → se declara y se paga a la DGR.</w:t>
            </w:r>
          </w:p>
          <w:p>
            <w:pPr>
              <w:pStyle w:val="ListParagraph"/>
              <w:keepNext w:val="false"/>
              <w:keepLines/>
              <w:widowControl/>
              <w:numPr>
                <w:ilvl w:val="0"/>
                <w:numId w:val="1"/>
              </w:numPr>
              <w:spacing w:after="70" w:before="0" w:line="28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F172A"/>
                <w:sz w:val="19"/>
                <w:szCs w:val="19"/>
                <w:lang w:val="es-AR"/>
              </w:rPr>
              <w:t xml:space="preserve">Sueldos: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  <w:lang w:val="es-AR"/>
              </w:rPr>
              <w:t xml:space="preserve">se devengan con la liquidación → se cancelan en dos destinos distintos: el neto al trabajador y el F.931 al organismo recaudador.</w:t>
            </w:r>
          </w:p>
        </w:tc>
      </w:tr>
    </w:tbl>
    <w:p>
      <w:pPr>
        <w:keepNext/>
        <w:spacing w:after="120"/>
      </w:pP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El mismo principio, tres veces. Esa repetición no es redundancia: es lo que permite que el estudiante generalice el patrón y lo reconozca frente a una obligación que nunca vio.</w:t>
      </w:r>
    </w:p>
    <w:p>
      <w:pPr>
        <w:pStyle w:val="Heading1"/>
        <w:keepNext/>
        <w:keepLines/>
        <w:pBdr>
          <w:bottom w:val="single" w:color="E2E8F0" w:sz="6" w:space="8"/>
        </w:pBdr>
        <w:spacing w:after="170" w:before="380" w:line="300"/>
      </w:pP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2563EB"/>
          <w:sz w:val="28"/>
          <w:szCs w:val="28"/>
          <w:lang w:val="es-AR"/>
        </w:rPr>
        <w:t xml:space="preserve">5  </w:t>
      </w:r>
      <w:r>
        <w:rPr>
          <w:rFonts w:ascii="Segoe UI" w:cs="Segoe UI" w:eastAsia="Segoe UI" w:hAnsi="Segoe UI"/>
          <w:b/>
          <w:bCs/>
          <w:i w:val="false"/>
          <w:iCs w:val="false"/>
          <w:caps w:val="false"/>
          <w:color w:val="0F172A"/>
          <w:sz w:val="28"/>
          <w:szCs w:val="28"/>
          <w:lang w:val="es-AR"/>
        </w:rPr>
        <w:t xml:space="preserve">Qué se evalúa</w:t>
      </w: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La evaluación no pregunta por la definición: mira la operación. La evidencia del aprendizaje son los productos que el propio sistema generó —el libro diario, la declaración jurada, el recibo de sueldo, el comprobante de pago— y la pregunta es si el ciclo cierra: si lo que se devengó se canceló, si lo que se vendió aparece en la declaración, si el saldo de la cuenta explica lo que pasó.</w:t>
      </w:r>
    </w:p>
    <w:p>
      <w:pPr>
        <w:keepNext w:val="false"/>
        <w:keepLines w:val="false"/>
        <w:widowControl/>
        <w:spacing w:after="140" w:before="0" w:line="29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aps w:val="false"/>
          <w:color w:val="334155"/>
          <w:sz w:val="21"/>
          <w:szCs w:val="21"/>
          <w:lang w:val="es-AR"/>
        </w:rPr>
        <w:t xml:space="preserve">Eso vuelve visible el proceso y no sólo el resultado. Un error de criterio deja rastro en la cadena, se puede señalar dónde se produjo, y el estudiante puede volver a intentarlo sin que nada se rompa de manera definitiva.</w:t>
      </w:r>
    </w:p>
    <w:p>
      <w:pPr>
        <w:keepNext/>
        <w:spacing w:after="150"/>
      </w:pPr>
    </w:p>
    <w:tbl>
      <w:tblPr>
        <w:tblW w:type="pct" w:w="100%"/>
        <w:tblBorders>
          <w:top w:val="none" w:color="FFFFFF" w:sz="0"/>
          <w:left w:val="single" w:color="2563E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shd w:fill="F8FAFC" w:color="auto" w:val="clear"/>
            <w:tcMar>
              <w:top w:type="dxa" w:w="170"/>
              <w:left w:type="dxa" w:w="220"/>
              <w:bottom w:type="dxa" w:w="170"/>
              <w:right w:type="dxa" w:w="200"/>
            </w:tcMar>
          </w:tcPr>
          <w:p>
            <w:pPr>
              <w:keepNext w:val="false"/>
              <w:keepLines w:val="false"/>
              <w:widowControl/>
              <w:spacing w:after="0" w:before="0" w:line="275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aps w:val="false"/>
                <w:color w:val="0F172A"/>
                <w:sz w:val="22"/>
                <w:szCs w:val="22"/>
                <w:lang w:val="es-AR"/>
              </w:rPr>
              <w:t xml:space="preserve">«Cuando el entorno digital está bien diseñado, el estudiante no percibe que está aprendiendo: percibe que está resolviendo.»</w:t>
            </w:r>
          </w:p>
        </w:tc>
      </w:tr>
    </w:tbl>
    <w:sectPr>
      <w:footerReference w:type="default" r:id="rId7"/>
      <w:pgSz w:w="11906" w:h="16838" w:orient="portrait"/>
      <w:pgMar w:top="1247" w:right="1304" w:bottom="1134" w:left="1304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Segoe UI" w:cs="Segoe UI" w:eastAsia="Segoe UI" w:hAnsi="Segoe UI"/>
        <w:color w:val="94A3B8"/>
        <w:sz w:val="15"/>
        <w:szCs w:val="15"/>
      </w:rPr>
      <w:t xml:space="preserve">GEST-AR · Material conceptual complementario   </w:t>
    </w:r>
    <w:r>
      <w:rPr>
        <w:rFonts w:ascii="Segoe UI" w:cs="Segoe UI" w:eastAsia="Segoe UI" w:hAnsi="Segoe UI"/>
        <w:b/>
        <w:bCs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1"/>
        <w:szCs w:val="21"/>
        <w:lang w:val="es-A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70" w:before="380" w:line="300"/>
      <w:outlineLvl w:val="0"/>
    </w:pPr>
    <w:rPr>
      <w:rFonts w:ascii="Segoe UI" w:cs="Segoe UI" w:eastAsia="Segoe UI" w:hAnsi="Segoe UI"/>
      <w:b/>
      <w:bCs/>
      <w:color w:val="0F172A"/>
      <w:sz w:val="28"/>
      <w:szCs w:val="28"/>
      <w:lang w:val="es-AR"/>
    </w:rPr>
  </w:style>
  <w:style w:type="paragraph" w:styleId="Heading2">
    <w:name w:val="Heading 2"/>
    <w:basedOn w:val="Normal"/>
    <w:next w:val="Normal"/>
    <w:qFormat/>
    <w:pPr>
      <w:keepNext/>
      <w:keepLines/>
      <w:spacing w:after="90" w:before="240" w:line="290"/>
      <w:outlineLvl w:val="1"/>
    </w:pPr>
    <w:rPr>
      <w:rFonts w:ascii="Segoe UI" w:cs="Segoe UI" w:eastAsia="Segoe UI" w:hAnsi="Segoe UI"/>
      <w:b/>
      <w:bCs/>
      <w:color w:val="0F172A"/>
      <w:sz w:val="22"/>
      <w:szCs w:val="22"/>
      <w:lang w:val="es-A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GEST-AR: cómo está pensado el ecosistema</dc:title>
  <dc:subject>Enfoque neuro-tecno-pedagógico y aplicaciones del ecosistema GEST-AR</dc:subject>
  <dc:creator>Juan Manuel Gómez</dc:creator>
  <cp:keywords>GEST-AR, neuro-tecno-pedagógico, TRIBUT.AR, PyMEZ 360, Sueldos 360, educación técnica</cp:keywords>
  <dc:description>Material conceptual complementario a la presentación del ecosistema digital educativo GEST-AR</dc:description>
  <cp:lastModifiedBy>Juan Manuel Gómez</cp:lastModifiedBy>
  <cp:revision>1</cp:revision>
  <dcterms:created xsi:type="dcterms:W3CDTF">2026-08-28T22:45:47.242Z</dcterms:created>
  <dcterms:modified xsi:type="dcterms:W3CDTF">2026-08-28T22:45:47.255Z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