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0800"/>
            <w:gridSpan w:val="4"/>
            <w:shd w:fill="DDEBF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NOMBRE DEL PROCESO: Plan de Disponibilidad y Continuidad del Negocio (BCP / DRP)</w:t>
            </w:r>
          </w:p>
        </w:tc>
      </w:tr>
      <w:tr>
        <w:tc>
          <w:tcPr>
            <w:tcW w:type="dxa" w:w="3168"/>
            <w:shd w:fill="DDEBF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 xml:space="preserve">Preparado por: </w:t>
            </w:r>
            <w:r>
              <w:t>Departamento de TIC</w:t>
            </w:r>
          </w:p>
        </w:tc>
        <w:tc>
          <w:tcPr>
            <w:tcW w:type="dxa" w:w="3168"/>
            <w:shd w:fill="DDEBF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 xml:space="preserve">Aprobado por: </w:t>
            </w:r>
            <w:r>
              <w:t>Dirección Nacional</w:t>
            </w:r>
          </w:p>
        </w:tc>
        <w:tc>
          <w:tcPr>
            <w:tcW w:type="dxa" w:w="2160"/>
            <w:shd w:fill="DDEBF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Código/</w:t>
              <w:br/>
              <w:t>Páginas:</w:t>
            </w:r>
          </w:p>
        </w:tc>
        <w:tc>
          <w:tcPr>
            <w:tcW w:type="dxa" w:w="2304"/>
            <w:shd w:fill="DDEBF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BNPHU-TIC-004</w:t>
              <w:br/>
              <w:t>2</w:t>
            </w:r>
          </w:p>
        </w:tc>
      </w:tr>
      <w:tr>
        <w:tc>
          <w:tcPr>
            <w:tcW w:type="dxa" w:w="10800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1.0 Propósito o Misión:</w:t>
              <w:br/>
              <w:t>Mantener las operaciones tecnológicas a un nivel aceptable frente a eventualidades o desastres, estableciendo un protocolo de gestión de incidentes y un esquema de recuperación técnica.</w:t>
            </w:r>
          </w:p>
        </w:tc>
      </w:tr>
      <w:tr>
        <w:tc>
          <w:tcPr>
            <w:tcW w:type="dxa" w:w="8640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2.0 Alcance:</w:t>
              <w:br/>
              <w:t>Empieza: Detección de evento, interrupción o alerta tecnológica.</w:t>
              <w:br/>
              <w:t>Incluye: Análisis de capacidad, registro del incidente, activación del Comité de Continuidad (CONTI), Análisis de Impacto (BIA), y recuperación de desastres (DRP).</w:t>
              <w:br/>
              <w:t>Termina: Restauración a la normalidad operativa, elaboración de lecciones aprendidas y cierre del evento.</w:t>
            </w:r>
          </w:p>
        </w:tc>
      </w:tr>
      <w:tr>
        <w:tc>
          <w:tcPr>
            <w:tcW w:type="dxa" w:w="8640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3.0 Dueño o responsables:</w:t>
              <w:br/>
              <w:t>3.1 Comité de Continuidad (CONTI)</w:t>
              <w:br/>
              <w:t>3.2 Oficial de Seguridad</w:t>
              <w:br/>
              <w:t>3.3 Departamento de TIC</w:t>
            </w:r>
          </w:p>
        </w:tc>
      </w:tr>
      <w:tr>
        <w:tc>
          <w:tcPr>
            <w:tcW w:type="dxa" w:w="8640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4.0 Documentos de referencia:</w:t>
              <w:br/>
              <w:t>4.1 NORTIC A7:2016 (Capítulo IV)</w:t>
              <w:br/>
              <w:t>4.2 NIST CSF v2.0 (Respond - Incident Management RS.MA / Recover RC.RP)</w:t>
            </w:r>
          </w:p>
        </w:tc>
      </w:tr>
      <w:tr>
        <w:tc>
          <w:tcPr>
            <w:tcW w:type="dxa" w:w="8640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5.0 Políticas del Procedimiento:</w:t>
              <w:br/>
              <w:t>5.1 Gestión de Incidentes (PGI): Todo incidente debe reportarse. Incidentes criminales deben escalarse al DICAT (Ley 53-07).</w:t>
              <w:br/>
              <w:t>5.2 Comité de Continuidad (CONTI): Integrado por la MAE, Enc. de TIC y áreas claves. Toma las decisiones estratégicas ante desastres.</w:t>
              <w:br/>
              <w:t>5.3 BIA (Análisis de Impacto): Identificar los procesos críticos institucionales y establecer el RTO (Recovery Time Objective) y RPO (Recovery Point Objective).</w:t>
              <w:br/>
              <w:t>5.4 DRP (Disaster Recovery Plan): Incluye contingencias técnicas, respaldo de infraestructuras críticas, mantenimientos o localidades alternas con al menos 2 semanas de autonomía.</w:t>
              <w:br/>
              <w:t>5.5 Simulacros: Es obligatorio documentar y ejecutar simulacros de evacuación, fallo tecnológico y restauración al menos una vez al año.</w:t>
            </w:r>
          </w:p>
        </w:tc>
      </w:tr>
      <w:tr>
        <w:tc>
          <w:tcPr>
            <w:tcW w:type="dxa" w:w="8640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6.0 Descripción de las Actividades del Proceso:</w:t>
              <w:br/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4320"/>
              <w:gridCol w:w="4320"/>
            </w:tblGrid>
            <w:tr>
              <w:tc>
                <w:tcPr>
                  <w:tcW w:type="dxa" w:w="4320"/>
                  <w:shd w:fill="DDEBF7"/>
                </w:tcPr>
                <w:p>
                  <w:pPr>
                    <w:jc w:val="center"/>
                  </w:pPr>
                  <w:r>
                    <w:rPr>
                      <w:b/>
                    </w:rPr>
                    <w:t>Responsable</w:t>
                  </w:r>
                </w:p>
              </w:tc>
              <w:tc>
                <w:tcPr>
                  <w:tcW w:type="dxa" w:w="4320"/>
                  <w:shd w:fill="DDEBF7"/>
                </w:tcPr>
                <w:p>
                  <w:pPr>
                    <w:jc w:val="center"/>
                  </w:pPr>
                  <w:r>
                    <w:rPr>
                      <w:b/>
                    </w:rPr>
                    <w:t>Descripción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Usuario / Dpto. TIC</w:t>
                  </w:r>
                </w:p>
              </w:tc>
              <w:tc>
                <w:tcPr>
                  <w:tcW w:type="dxa" w:w="4320"/>
                </w:tcPr>
                <w:p>
                  <w:r>
                    <w:t>6.1 Detecta la interrupción y registra un ticket de incidente. TIC inicia el diagnóstico primario.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Dpto. TIC / CISO</w:t>
                  </w:r>
                </w:p>
              </w:tc>
              <w:tc>
                <w:tcPr>
                  <w:tcW w:type="dxa" w:w="4320"/>
                </w:tcPr>
                <w:p>
                  <w:r>
                    <w:t>6.2 Contiene el incidente. Si sobrepasa la capacidad operativa normal, se escala al Comité CONTI.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Comité CONTI / MAE</w:t>
                  </w:r>
                </w:p>
              </w:tc>
              <w:tc>
                <w:tcPr>
                  <w:tcW w:type="dxa" w:w="4320"/>
                </w:tcPr>
                <w:p>
                  <w:r>
                    <w:t>6.3 Analiza el nivel de impacto según el BIA. Declara formalmente estado de emergencia o desastre y activa el DRP.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Dpto. TIC</w:t>
                  </w:r>
                </w:p>
              </w:tc>
              <w:tc>
                <w:tcPr>
                  <w:tcW w:type="dxa" w:w="4320"/>
                </w:tcPr>
                <w:p>
                  <w:r>
                    <w:t>6.4 Ejecuta los procedimientos de contingencia: restauración de respaldos off-site, conmutación a enlaces redundantes o activación de servicios en la nube.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Comité CONTI</w:t>
                  </w:r>
                </w:p>
              </w:tc>
              <w:tc>
                <w:tcPr>
                  <w:tcW w:type="dxa" w:w="4320"/>
                </w:tcPr>
                <w:p>
                  <w:r>
                    <w:t>6.5 Concluida la recuperación, elabora informe de lecciones aprendidas, ajusta el DRP y envía reportes formales a organismos rectores (OGTIC, CNCS).</w:t>
                  </w:r>
                </w:p>
              </w:tc>
            </w:tr>
          </w:tbl>
          <w:p/>
        </w:tc>
      </w:tr>
      <w:tr>
        <w:tc>
          <w:tcPr>
            <w:tcW w:type="dxa" w:w="8640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160"/>
              <w:gridCol w:w="2160"/>
              <w:gridCol w:w="2160"/>
              <w:gridCol w:w="2160"/>
            </w:tblGrid>
            <w:tr>
              <w:tc>
                <w:tcPr>
                  <w:tcW w:type="dxa" w:w="720"/>
                  <w:vMerge w:val="restart"/>
                </w:tcPr>
                <w:p>
                  <w:r>
                    <w:rPr>
                      <w:b/>
                    </w:rPr>
                    <w:t>7.0</w:t>
                  </w:r>
                </w:p>
              </w:tc>
              <w:tc>
                <w:tcPr>
                  <w:tcW w:type="dxa" w:w="2160"/>
                  <w:vMerge w:val="restart"/>
                </w:tcPr>
                <w:p>
                  <w:r>
                    <w:rPr>
                      <w:b/>
                    </w:rPr>
                    <w:t>ANEXOS</w:t>
                  </w:r>
                </w:p>
              </w:tc>
              <w:tc>
                <w:tcPr>
                  <w:tcW w:type="dxa" w:w="720"/>
                </w:tcPr>
                <w:p>
                  <w:r>
                    <w:t>7.1</w:t>
                  </w:r>
                </w:p>
              </w:tc>
              <w:tc>
                <w:tcPr>
                  <w:tcW w:type="dxa" w:w="7200"/>
                </w:tcPr>
                <w:p>
                  <w:r>
                    <w:t>Plan de Recuperación ante Desastres (DRP)</w:t>
                  </w:r>
                </w:p>
              </w:tc>
            </w:tr>
            <w:tr>
              <w:tc>
                <w:tcPr>
                  <w:tcW w:type="dxa" w:w="2160"/>
                  <w:vMerge/>
                </w:tcPr>
                <w:p/>
              </w:tc>
              <w:tc>
                <w:tcPr>
                  <w:tcW w:type="dxa" w:w="2160"/>
                  <w:vMerge/>
                </w:tcPr>
                <w:p/>
              </w:tc>
              <w:tc>
                <w:tcPr>
                  <w:tcW w:type="dxa" w:w="720"/>
                </w:tcPr>
                <w:p>
                  <w:r>
                    <w:t>7.2</w:t>
                  </w:r>
                </w:p>
              </w:tc>
              <w:tc>
                <w:tcPr>
                  <w:tcW w:type="dxa" w:w="7200"/>
                </w:tcPr>
                <w:p>
                  <w:r>
                    <w:t>Documento de BIA (Análisis de Impacto)</w:t>
                  </w:r>
                </w:p>
              </w:tc>
            </w:tr>
            <w:tr>
              <w:tc>
                <w:tcPr>
                  <w:tcW w:type="dxa" w:w="2160"/>
                  <w:vMerge/>
                </w:tcPr>
                <w:p/>
              </w:tc>
              <w:tc>
                <w:tcPr>
                  <w:tcW w:type="dxa" w:w="2160"/>
                  <w:vMerge/>
                </w:tcPr>
                <w:p/>
              </w:tc>
              <w:tc>
                <w:tcPr>
                  <w:tcW w:type="dxa" w:w="720"/>
                </w:tcPr>
                <w:p>
                  <w:r>
                    <w:t>7.3</w:t>
                  </w:r>
                </w:p>
              </w:tc>
              <w:tc>
                <w:tcPr>
                  <w:tcW w:type="dxa" w:w="7200"/>
                </w:tcPr>
                <w:p>
                  <w:r>
                    <w:t>Informes de Simulacros</w:t>
                  </w:r>
                </w:p>
              </w:tc>
            </w:tr>
          </w:tbl>
          <w:p/>
        </w:tc>
      </w:tr>
      <w:tr>
        <w:tc>
          <w:tcPr>
            <w:tcW w:type="dxa" w:w="8640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440"/>
              <w:gridCol w:w="1440"/>
              <w:gridCol w:w="1440"/>
              <w:gridCol w:w="1440"/>
              <w:gridCol w:w="1440"/>
              <w:gridCol w:w="1440"/>
            </w:tblGrid>
            <w:tr>
              <w:tc>
                <w:tcPr>
                  <w:tcW w:type="dxa" w:w="1440"/>
                </w:tcPr>
                <w:p>
                  <w:r>
                    <w:rPr>
                      <w:b/>
                    </w:rPr>
                    <w:t>8.0</w:t>
                  </w:r>
                </w:p>
              </w:tc>
              <w:tc>
                <w:tcPr>
                  <w:tcW w:type="dxa" w:w="7200"/>
                  <w:gridSpan w:val="5"/>
                </w:tcPr>
                <w:p>
                  <w:r>
                    <w:rPr>
                      <w:b/>
                    </w:rPr>
                    <w:t>REGISTROS: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rPr>
                      <w:b/>
                    </w:rPr>
                    <w:t>CODIGO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b/>
                    </w:rPr>
                    <w:t>NOMBRE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b/>
                    </w:rPr>
                    <w:t>ALMACENAMIENTO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b/>
                    </w:rPr>
                    <w:t>ARCHIVADO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b/>
                    </w:rPr>
                    <w:t>TIEMPO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b/>
                    </w:rPr>
                    <w:t>DISPOSICION</w:t>
                  </w:r>
                </w:p>
              </w:tc>
            </w:tr>
          </w:tbl>
          <w:p/>
        </w:tc>
      </w:tr>
      <w:tr>
        <w:tc>
          <w:tcPr>
            <w:tcW w:type="dxa" w:w="8640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440"/>
              <w:gridCol w:w="1440"/>
              <w:gridCol w:w="1440"/>
              <w:gridCol w:w="1440"/>
              <w:gridCol w:w="1440"/>
              <w:gridCol w:w="1440"/>
            </w:tblGrid>
            <w:tr>
              <w:tc>
                <w:tcPr>
                  <w:tcW w:type="dxa" w:w="1440"/>
                </w:tcPr>
                <w:p>
                  <w:pPr>
                    <w:jc w:val="center"/>
                  </w:pPr>
                  <w:r>
                    <w:rPr>
                      <w:b/>
                    </w:rPr>
                    <w:t>9.0</w:t>
                    <w:br/>
                    <w:t>Historia</w:t>
                    <w:br/>
                    <w:t>de Cambio</w:t>
                  </w:r>
                </w:p>
              </w:tc>
              <w:tc>
                <w:tcPr>
                  <w:tcW w:type="dxa" w:w="7200"/>
                  <w:gridSpan w:val="5"/>
                </w:tcPr>
                <w:p/>
              </w:tc>
            </w:tr>
            <w:tr>
              <w:tc>
                <w:tcPr>
                  <w:tcW w:type="dxa" w:w="1440"/>
                </w:tcPr>
                <w:p>
                  <w:pPr>
                    <w:jc w:val="center"/>
                  </w:pPr>
                  <w:r>
                    <w:rPr>
                      <w:b/>
                    </w:rPr>
                    <w:t>REVISIONES</w:t>
                  </w:r>
                </w:p>
              </w:tc>
              <w:tc>
                <w:tcPr>
                  <w:tcW w:type="dxa" w:w="1440"/>
                </w:tcPr>
                <w:p>
                  <w:pPr>
                    <w:jc w:val="center"/>
                  </w:pPr>
                  <w:r>
                    <w:rPr>
                      <w:b/>
                    </w:rPr>
                    <w:t>FECHAS</w:t>
                  </w:r>
                </w:p>
              </w:tc>
              <w:tc>
                <w:tcPr>
                  <w:tcW w:type="dxa" w:w="1440"/>
                </w:tcPr>
                <w:p>
                  <w:pPr>
                    <w:jc w:val="center"/>
                  </w:pPr>
                  <w:r>
                    <w:rPr>
                      <w:b/>
                    </w:rPr>
                    <w:t>SECCION</w:t>
                  </w:r>
                </w:p>
              </w:tc>
              <w:tc>
                <w:tcPr>
                  <w:tcW w:type="dxa" w:w="1440"/>
                </w:tcPr>
                <w:p>
                  <w:pPr>
                    <w:jc w:val="center"/>
                  </w:pPr>
                  <w:r>
                    <w:rPr>
                      <w:b/>
                    </w:rPr>
                    <w:t>DESCRIPCION</w:t>
                  </w:r>
                </w:p>
              </w:tc>
              <w:tc>
                <w:tcPr>
                  <w:tcW w:type="dxa" w:w="1440"/>
                </w:tcPr>
                <w:p>
                  <w:pPr>
                    <w:jc w:val="center"/>
                  </w:pPr>
                  <w:r>
                    <w:rPr>
                      <w:b/>
                    </w:rPr>
                    <w:t>REVISADO POR</w:t>
                  </w:r>
                </w:p>
              </w:tc>
              <w:tc>
                <w:tcPr>
                  <w:tcW w:type="dxa" w:w="1440"/>
                </w:tcPr>
                <w:p>
                  <w:pPr>
                    <w:jc w:val="center"/>
                  </w:pPr>
                  <w:r>
                    <w:rPr>
                      <w:b/>
                    </w:rPr>
                    <w:t>REFRENDADO POR</w:t>
                  </w:r>
                </w:p>
              </w:tc>
            </w:tr>
            <w:tr>
              <w:tc>
                <w:tcPr>
                  <w:tcW w:type="dxa" w:w="1440"/>
                </w:tcPr>
                <w:p/>
              </w:tc>
              <w:tc>
                <w:tcPr>
                  <w:tcW w:type="dxa" w:w="1440"/>
                </w:tcPr>
                <w:p/>
              </w:tc>
              <w:tc>
                <w:tcPr>
                  <w:tcW w:type="dxa" w:w="1440"/>
                </w:tcPr>
                <w:p/>
              </w:tc>
              <w:tc>
                <w:tcPr>
                  <w:tcW w:type="dxa" w:w="1440"/>
                </w:tcPr>
                <w:p/>
              </w:tc>
              <w:tc>
                <w:tcPr>
                  <w:tcW w:type="dxa" w:w="1440"/>
                </w:tcPr>
                <w:p/>
              </w:tc>
              <w:tc>
                <w:tcPr>
                  <w:tcW w:type="dxa" w:w="1440"/>
                </w:tcPr>
                <w:p/>
              </w:tc>
            </w:tr>
          </w:tbl>
          <w:p/>
        </w:tc>
      </w:tr>
      <w:tr>
        <w:tc>
          <w:tcPr>
            <w:tcW w:type="dxa" w:w="8640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880"/>
              <w:gridCol w:w="2880"/>
              <w:gridCol w:w="2880"/>
            </w:tblGrid>
            <w:tr>
              <w:tc>
                <w:tcPr>
                  <w:tcW w:type="dxa" w:w="720"/>
                </w:tcPr>
                <w:p>
                  <w:r>
                    <w:rPr>
                      <w:b/>
                    </w:rPr>
                    <w:t>10.0</w:t>
                  </w:r>
                </w:p>
              </w:tc>
              <w:tc>
                <w:tcPr>
                  <w:tcW w:type="dxa" w:w="2160"/>
                </w:tcPr>
                <w:p>
                  <w:r>
                    <w:rPr>
                      <w:b/>
                    </w:rPr>
                    <w:t>TIEMPO DE</w:t>
                    <w:br/>
                    <w:t>RESPUESTA:</w:t>
                  </w:r>
                </w:p>
              </w:tc>
              <w:tc>
                <w:tcPr>
                  <w:tcW w:type="dxa" w:w="7920"/>
                </w:tcPr>
                <w:p>
                  <w:r>
                    <w:t>Ejecución inmediata. Tiempos de recuperación varían según el RTO del proceso.</w:t>
                  </w:r>
                </w:p>
              </w:tc>
            </w:tr>
          </w:tbl>
          <w:p/>
        </w:tc>
      </w:tr>
      <w:tr>
        <w:tc>
          <w:tcPr>
            <w:tcW w:type="dxa" w:w="8640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  <w:t>FIN DEL PROCEDIMIENTO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Style w:val="TableGrid"/>
      <w:tblW w:type="auto" w:w="0"/>
      <w:tblLayout w:type="fixed"/>
      <w:tblLook w:firstColumn="1" w:firstRow="1" w:lastColumn="0" w:lastRow="0" w:noHBand="0" w:noVBand="1" w:val="04A0"/>
    </w:tblPr>
    <w:tblGrid>
      <w:gridCol w:w="3600"/>
      <w:gridCol w:w="3600"/>
      <w:gridCol w:w="3600"/>
    </w:tblGrid>
    <w:tr>
      <w:tc>
        <w:tcPr>
          <w:tcW w:type="dxa" w:w="2160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097280" cy="81719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bnphu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97280" cy="81719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480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jc w:val="center"/>
          </w:pPr>
          <w:r>
            <w:rPr>
              <w:b/>
            </w:rPr>
            <w:t>BIBLIOTECA NACIONAL PEDRO HENRÍQUEZ UREÑA</w:t>
          </w:r>
        </w:p>
      </w:tc>
      <w:tc>
        <w:tcPr>
          <w:tcW w:type="dxa" w:w="2160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jc w:val="center"/>
          </w:pPr>
          <w:r>
            <w:t>DPyD</w:t>
            <w:br/>
            <w:t>Versión 1:</w:t>
            <w:br/>
            <w:t>Enero, 2020</w:t>
          </w:r>
        </w:p>
      </w:tc>
    </w:tr>
    <w:tr>
      <w:tc>
        <w:tcPr>
          <w:tcW w:type="dxa" w:w="3600"/>
          <w:vMerge/>
        </w:tcPr>
        <w:p/>
      </w:tc>
      <w:tc>
        <w:tcPr>
          <w:tcW w:type="dxa" w:w="6480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jc w:val="center"/>
          </w:pPr>
          <w:r>
            <w:rPr>
              <w:b/>
            </w:rPr>
            <w:t>MANUAL DE POLÍTICAS Y PROCEDIMIENTOS</w:t>
          </w:r>
        </w:p>
      </w:tc>
      <w:tc>
        <w:tcPr>
          <w:tcW w:type="dxa" w:w="3600"/>
          <w:vMerge/>
        </w:tcPr>
        <w:p/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