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Procedimiento de Gestión de Incidentes de Ciberseguridad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BNPHU-TIC-009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Proveer una metodología estandarizada para responder a incidentes que amenacen la seguridad (Ej. Ransomware, Phishing, Fugas de Datos).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Detección de evento anómalo o reporte de usuario.</w:t>
              <w:br/>
              <w:t>Incluye: Triaje, contención, erradicación, recuperación e investigación post-incidente.</w:t>
              <w:br/>
              <w:t>Termina: Elaboración de informe de incidente y cierre forense.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CSIRT Interno (Equipo de Respuesta)</w:t>
              <w:br/>
              <w:t>3.2 Oficial de Seguridad (CISO)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</w:t>
              <w:br/>
              <w:t>4.2 NIST Incident Response Guide (SP 800-61 Rev. 2)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Todo empleado debe reportar inmediatamente equipos lentos, correos sospechosos o pérdida de información.</w:t>
              <w:br/>
              <w:t>5.2 Preservación Forense: No se apagará ni formateará el equipo afectado sin autorización del CISO para conservar la cadena de custodia.</w:t>
              <w:br/>
              <w:t>5.3 Reporte Obligatorio: Incidentes críticos se reportarán al CSIRT Nacional (CNCS) en menos de 24 horas.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Usuario</w:t>
                  </w:r>
                </w:p>
              </w:tc>
              <w:tc>
                <w:tcPr>
                  <w:tcW w:type="dxa" w:w="4320"/>
                </w:tcPr>
                <w:p>
                  <w:r>
                    <w:t>6.1 Detecta anomalía y reporta inmediatamente al Centro de Servicios TIC.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CSIRT Interno</w:t>
                  </w:r>
                </w:p>
              </w:tc>
              <w:tc>
                <w:tcPr>
                  <w:tcW w:type="dxa" w:w="4320"/>
                </w:tcPr>
                <w:p>
                  <w:r>
                    <w:t>6.2 Evalúa y clasifica el incidente. Aplica medidas de contención (desconectar de la red).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CSIRT Interno</w:t>
                  </w:r>
                </w:p>
              </w:tc>
              <w:tc>
                <w:tcPr>
                  <w:tcW w:type="dxa" w:w="4320"/>
                </w:tcPr>
                <w:p>
                  <w:r>
                    <w:t>6.3 Elimina la amenaza (erradicación) y restaura sistemas desde backups limpios (recuperación).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</w:t>
                  </w:r>
                </w:p>
              </w:tc>
              <w:tc>
                <w:tcPr>
                  <w:tcW w:type="dxa" w:w="4320"/>
                </w:tcPr>
                <w:p>
                  <w:r>
                    <w:t>6.4 Elabora reporte post-incidente, documenta Indicadores de Compromiso (IoCs) y establece medidas preventivas futuras.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Plantilla de Reporte de Incidente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Cadena de Custodia de Evidencias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Contención inicial en 1-2 horas según gravedad.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3600"/>
      <w:gridCol w:w="3600"/>
      <w:gridCol w:w="3600"/>
    </w:tblGrid>
    <w:tr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97280" cy="8171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nphu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171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BIBLIOTECA NACIONAL PEDRO HENRÍQUEZ UREÑA</w:t>
          </w:r>
        </w:p>
      </w:tc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>DPyD</w:t>
            <w:br/>
            <w:t>Versión 1:</w:t>
            <w:br/>
            <w:t>Julio 2026</w:t>
          </w:r>
        </w:p>
      </w:tc>
    </w:tr>
    <w:tr>
      <w:tc>
        <w:tcPr>
          <w:tcW w:type="dxa" w:w="3600"/>
          <w:vMerge/>
        </w:tcPr>
        <w:p/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MANUAL DE POLÍTICAS Y PROCEDIMIENTOS</w:t>
          </w:r>
        </w:p>
      </w:tc>
      <w:tc>
        <w:tcPr>
          <w:tcW w:type="dxa" w:w="3600"/>
          <w:vMerge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