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8171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bnphu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17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BIBLIOTECA NACIONAL PEDRO HENRÍQUEZ UREÑA</w:t>
            </w:r>
          </w:p>
        </w:tc>
        <w:tc>
          <w:tcPr>
            <w:tcW w:type="dxa" w:w="216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DPyD</w:t>
              <w:br/>
              <w:t>Versión 1:</w:t>
              <w:br/>
              <w:t>Enero, 2020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6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MANUAL DE POLÍTICAS Y PROCEDIMIENTOS</w:t>
            </w:r>
          </w:p>
        </w:tc>
        <w:tc>
          <w:tcPr>
            <w:tcW w:type="dxa" w:w="2880"/>
            <w:vMerge/>
          </w:tcPr>
          <w:p/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0"/>
            <w:gridSpan w:val="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Políticas para la Administración y Tratamiento Seguro de la Información</w:t>
            </w:r>
          </w:p>
        </w:tc>
      </w:tr>
      <w:tr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Preparado por: </w:t>
            </w:r>
            <w:r>
              <w:t>Departamento de TIC</w:t>
            </w:r>
          </w:p>
        </w:tc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Aprobado por: </w:t>
            </w:r>
            <w:r>
              <w:t>Dirección Nacional</w:t>
            </w:r>
          </w:p>
        </w:tc>
        <w:tc>
          <w:tcPr>
            <w:tcW w:type="dxa" w:w="2160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Código/</w:t>
              <w:br/>
              <w:t>Páginas:</w:t>
            </w:r>
          </w:p>
        </w:tc>
        <w:tc>
          <w:tcPr>
            <w:tcW w:type="dxa" w:w="230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BNPHU-TIC-002</w:t>
              <w:br/>
              <w:t>2</w:t>
            </w:r>
          </w:p>
        </w:tc>
      </w:tr>
      <w:tr>
        <w:tc>
          <w:tcPr>
            <w:tcW w:type="dxa" w:w="1080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Establecer las normativas relativas a las responsabilidades de los empleados frente a la información institucional, su correcta clasificación, almacenamiento, retención, respaldo, recuperación y eliminación definitiva.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Creación, recepción o digitalización de la información.</w:t>
              <w:br/>
              <w:t>Incluye: Clasificación de información, definición de cuotas, retención temporal, encriptación, respaldos periódicos y destrucción certificada.</w:t>
              <w:br/>
              <w:t>Termina: Borrado seguro o destrucción física de la información o equipos.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Encargado de TIC</w:t>
              <w:br/>
              <w:t>3.2 Analista de Recursos Humanos</w:t>
              <w:br/>
              <w:t>3.3 Responsable de Acceso a la Información (RAI)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 (Sec. 2.02 y 2.03)</w:t>
              <w:br/>
              <w:t>4.2 NIST CSF v2.0 (Protect - Data Security PR.DS)</w:t>
              <w:br/>
              <w:t>4.3 Ley 200-04 Libre Acceso a la Info. Pública</w:t>
              <w:br/>
              <w:t>4.4 Ley General de Archivo No. 481-08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Responsabilidad del Empleado: Prohibido compartir credenciales. La estación de trabajo debe ser bloqueada al ausentarse. No se permite compartir información fuera de los canales oficiales.</w:t>
              <w:br/>
              <w:t>5.2 Clasificación de Información: Todo dato se clasifica en 1) Pública, 2) Valiosa, 3) Sensitiva, o 4) Confidencial. La información sensitiva y confidencial debe estar cifrada y restringida a personal autorizado.</w:t>
              <w:br/>
              <w:t>5.3 Divulgación: Las solicitudes ciudadanas de información deben canalizarse vía la Oficina de Acceso a la Información (OAI).</w:t>
              <w:br/>
              <w:t>5.4 Almacenamiento: Se deben utilizar rutas dedicadas y auditadas para archivos clasificados. Se asignan cuotas por usuario. No almacenar audio o video personal.</w:t>
              <w:br/>
              <w:t>5.5 Respaldos (Backups): Deben hacerse copias de seguridad incrementales, diferenciales o completas, mantenidas en sitios fuera de la localidad principal, y probarse su restauración semestralmente.</w:t>
              <w:br/>
              <w:t>5.6 Borrado Seguro: La destrucción física requiere trituración o desintegración. La lógica requiere programas certificados de wiping (sobreescritura). Todo descarte debe documentarse.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Responsable</w:t>
                  </w:r>
                </w:p>
              </w:tc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RRHH / Usuario</w:t>
                  </w:r>
                </w:p>
              </w:tc>
              <w:tc>
                <w:tcPr>
                  <w:tcW w:type="dxa" w:w="4320"/>
                </w:tcPr>
                <w:p>
                  <w:r>
                    <w:t>6.1 Firma el documento de entendimiento de políticas al ingresar a la BNPHU.</w:t>
                    <w:br/>
                    <w:t>6.2 Bloquea su equipo cada vez que se ausenta de su área.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6.3 Implementa GPOs para bloqueo automático de sesión tras 15 min de inactividad.</w:t>
                    <w:br/>
                    <w:t>6.4 Asigna y revisa cuotas de disco en los servidores de almacenamiento.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OAI / Jurídico</w:t>
                  </w:r>
                </w:p>
              </w:tc>
              <w:tc>
                <w:tcPr>
                  <w:tcW w:type="dxa" w:w="4320"/>
                </w:tcPr>
                <w:p>
                  <w:r>
                    <w:t>6.5 Canaliza, evalúa y responde las solicitudes de acceso a la información del ciudadano.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(Base de Datos / Redes)</w:t>
                  </w:r>
                </w:p>
              </w:tc>
              <w:tc>
                <w:tcPr>
                  <w:tcW w:type="dxa" w:w="4320"/>
                </w:tcPr>
                <w:p>
                  <w:r>
                    <w:t>6.6 Ejecuta los cronogramas de backups automáticos (diarios, semanales, mensuales).</w:t>
                    <w:br/>
                    <w:t>6.7 Verifica la integridad realizando pruebas de restauración semestrales.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/ Bienes Nacionales</w:t>
                  </w:r>
                </w:p>
              </w:tc>
              <w:tc>
                <w:tcPr>
                  <w:tcW w:type="dxa" w:w="4320"/>
                </w:tcPr>
                <w:p>
                  <w:r>
                    <w:t>6.8 Ante un descargo, se ejecuta herramienta de desmagnetización o Wiping. Si es medio físico (papel/CD), se realiza trituración documentada mediante actas.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720"/>
                  <w:vMerge w:val="restart"/>
                </w:tcPr>
                <w:p>
                  <w:r>
                    <w:rPr>
                      <w:b/>
                    </w:rPr>
                    <w:t>7.0</w:t>
                  </w:r>
                </w:p>
              </w:tc>
              <w:tc>
                <w:tcPr>
                  <w:tcW w:type="dxa" w:w="2160"/>
                  <w:vMerge w:val="restart"/>
                </w:tcPr>
                <w:p>
                  <w:r>
                    <w:rPr>
                      <w:b/>
                    </w:rPr>
                    <w:t>ANEXOS</w:t>
                  </w:r>
                </w:p>
              </w:tc>
              <w:tc>
                <w:tcPr>
                  <w:tcW w:type="dxa" w:w="720"/>
                </w:tcPr>
                <w:p>
                  <w:r>
                    <w:t>7.1</w:t>
                  </w:r>
                </w:p>
              </w:tc>
              <w:tc>
                <w:tcPr>
                  <w:tcW w:type="dxa" w:w="7200"/>
                </w:tcPr>
                <w:p>
                  <w:r>
                    <w:t>Acuerdo de Compromiso del Empleado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7.2</w:t>
                  </w:r>
                </w:p>
              </w:tc>
              <w:tc>
                <w:tcPr>
                  <w:tcW w:type="dxa" w:w="7200"/>
                </w:tcPr>
                <w:p>
                  <w:r>
                    <w:t>Matriz de Clasificación de la Información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7.3</w:t>
                  </w:r>
                </w:p>
              </w:tc>
              <w:tc>
                <w:tcPr>
                  <w:tcW w:type="dxa" w:w="7200"/>
                </w:tcPr>
                <w:p>
                  <w:r>
                    <w:t>Actas de Borrado Seguro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7.4</w:t>
                  </w:r>
                </w:p>
              </w:tc>
              <w:tc>
                <w:tcPr>
                  <w:tcW w:type="dxa" w:w="7200"/>
                </w:tcPr>
                <w:p>
                  <w:r>
                    <w:t>Calendario de Backups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8.0</w:t>
                  </w:r>
                </w:p>
              </w:tc>
              <w:tc>
                <w:tcPr>
                  <w:tcW w:type="dxa" w:w="7200"/>
                  <w:gridSpan w:val="5"/>
                </w:tcPr>
                <w:p>
                  <w:r>
                    <w:rPr>
                      <w:b/>
                    </w:rPr>
                    <w:t>REGISTROS: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9.0</w:t>
                    <w:br/>
                    <w:t>Historia</w:t>
                    <w:br/>
                    <w:t>de Cambio</w:t>
                  </w:r>
                </w:p>
              </w:tc>
              <w:tc>
                <w:tcPr>
                  <w:tcW w:type="dxa" w:w="7200"/>
                  <w:gridSpan w:val="5"/>
                </w:tcPr>
                <w:p/>
              </w:tc>
            </w:tr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FECHAS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SECCION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REFRENDADO POR</w:t>
                  </w:r>
                </w:p>
              </w:tc>
            </w:tr>
            <w:tr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720"/>
                </w:tcPr>
                <w:p>
                  <w:r>
                    <w:rPr>
                      <w:b/>
                    </w:rPr>
                    <w:t>10.0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TIEMPO DE</w:t>
                    <w:br/>
                    <w:t>RESPUESTA:</w:t>
                  </w:r>
                </w:p>
              </w:tc>
              <w:tc>
                <w:tcPr>
                  <w:tcW w:type="dxa" w:w="7920"/>
                </w:tcPr>
                <w:p>
                  <w:r>
                    <w:t>Aplicación permanente. Procedimientos de restauración deben tomar máximo 24 horas.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FIN DEL PROCEDIMIENTO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