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jc w:val="center"/>
      </w:pPr>
      <w:r>
        <w:rPr>
          <w:rFonts w:ascii="Arial" w:hAnsi="Arial"/>
          <w:b/>
          <w:color w:val="5B5B5B"/>
          <w:sz w:val="18"/>
        </w:rPr>
        <w:t>ASTROLOGÍA SARANA VEDA</w:t>
      </w:r>
    </w:p>
    <w:p>
      <w:pPr>
        <w:pStyle w:val="Title"/>
        <w:jc w:val="center"/>
      </w:pPr>
      <w:r>
        <w:t>INSTRUCCIONES GENERALES</w:t>
        <w:br/>
        <w:t>Y DE CONTINUIDAD</w:t>
      </w:r>
    </w:p>
    <w:p>
      <w:pPr>
        <w:jc w:val="center"/>
      </w:pPr>
      <w:r>
        <w:rPr>
          <w:rFonts w:ascii="Arial" w:hAnsi="Arial"/>
          <w:b/>
          <w:color w:val="222222"/>
          <w:sz w:val="34"/>
        </w:rPr>
        <w:t>PUERTA ASCENDENTE</w:t>
      </w:r>
    </w:p>
    <w:p>
      <w:pPr>
        <w:pStyle w:val="Subtitle"/>
        <w:jc w:val="center"/>
      </w:pPr>
      <w:r>
        <w:t>Entrada a la experiencia · orientación · ritmo · respuesta inicial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8787"/>
            <w:shd w:fill="F6E0D0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Callout"/>
              <w:jc w:val="left"/>
            </w:pPr>
            <w:r>
              <w:rPr>
                <w:b/>
              </w:rPr>
              <w:t xml:space="preserve">Objetivo de esta guía. </w:t>
            </w:r>
            <w:r>
              <w:t>Desarrollar la puerta Ascendente con la misma profundidad, progresión y criterio de continuidad alcanzados en el bloque del Sol ya revisado. Este documento debe servir tanto para completar el dossier actual como para redactar futuros informes de Fase 1.</w:t>
            </w:r>
          </w:p>
        </w:tc>
      </w:tr>
    </w:tbl>
    <w:p/>
    <w:p>
      <w:pPr>
        <w:pStyle w:val="Small"/>
        <w:jc w:val="center"/>
      </w:pPr>
      <w:r>
        <w:t>Documento interno reutilizable · Fase 1 · Sol · Luna · Ascendente · Descendente</w:t>
      </w:r>
    </w:p>
    <w:p>
      <w:r>
        <w:br w:type="page"/>
      </w:r>
    </w:p>
    <w:p>
      <w:pPr>
        <w:pStyle w:val="Heading1"/>
      </w:pPr>
      <w:r>
        <w:t>1. Regla del texto fijo resaltado en gris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184"/>
            <w:shd w:fill="E7E6E6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El texto resaltado en gris del dossier se considera TEXTO FIJO Y GENERAL de la Fase 1. </w:t>
            </w:r>
            <w:r>
              <w:t>No debe reescribirse, resumirse ni sustituirse por otra versión en futuros informes. Solo se adaptarán los elementos que necesariamente cambian de una persona a otra: [Nombre], concordancia gramatical cuando proceda y datos personales explícitos que formen parte de una frase variable. El contenido conceptual, la secuencia explicativa y las advertencias de lectura se conservan.</w:t>
            </w:r>
          </w:p>
        </w:tc>
      </w:tr>
    </w:tbl>
    <w:p>
      <w:r>
        <w:t>Ese texto fijo cumple una función pedagógica previa: explica las cuatro puertas, los estados de armonía/defecto/exceso y la manera de leer el informe. Por tanto, los bloques personalizados no deben volver a explicar esas mismas ideas desde cero.</w:t>
      </w:r>
    </w:p>
    <w:p>
      <w:r>
        <w:t>Cuando una puerta necesite recordar una idea ya presentada en el texto gris, basta una referencia breve y después debe añadirse información nueva. La continuidad se mide por lo que se profundiza, no por la cantidad de veces que se repite una definición.</w:t>
      </w:r>
    </w:p>
    <w:p>
      <w:r>
        <w:t>El lenguaje general debe seguir siendo no determinista: se formulan posibilidades para observar, no hechos biográficos no contados por la persona. La astrología se presenta como lenguaje simbólico para reflexionar, no como prueba de personalidad ni predicción.</w:t>
      </w:r>
    </w:p>
    <w:p>
      <w:pPr>
        <w:pStyle w:val="Heading1"/>
      </w:pPr>
      <w:r>
        <w:t>2. Reglas transversales de redacción</w:t>
      </w:r>
    </w:p>
    <w:p>
      <w:pPr>
        <w:pStyle w:val="BulletCompact"/>
      </w:pPr>
      <w:r>
        <w:t>Escribe para una persona que no conoce astrología. Cada término técnico se explica cuando aparece y se traduce inmediatamente a una experiencia comprensible.</w:t>
      </w:r>
    </w:p>
    <w:p>
      <w:pPr>
        <w:pStyle w:val="BulletCompact"/>
      </w:pPr>
      <w:r>
        <w:t>Mantén siempre la pregunta específica de esta puerta: «¿Cómo puedo dar este paso de una manera que pueda sostener?». Si un párrafo no ayuda a responderla, debe revisarse o moverse a otra puerta.</w:t>
      </w:r>
    </w:p>
    <w:p>
      <w:pPr>
        <w:pStyle w:val="BulletCompact"/>
      </w:pPr>
      <w:r>
        <w:t>Diferencia esta puerta de las demás. El Ascendente no debe reducirse a «la imagen que doy» ni convertirse en una descripción general de personalidad. Su centro es cómo entro en una situación, cómo me oriento, qué referencias necesito, qué hace mi cuerpo/atención al comienzo y qué ritmo me permite pasar de reacción a respuesta.</w:t>
      </w:r>
    </w:p>
    <w:p>
      <w:pPr>
        <w:pStyle w:val="BulletCompact"/>
      </w:pPr>
      <w:r>
        <w:t>Antes de redactar una sección, revisa todo lo anterior. Cada nuevo apartado debe aportar una función distinta: definición, matiz, contexto, proceso, consecuencia, señal de equilibrio o práctica.</w:t>
      </w:r>
    </w:p>
    <w:p>
      <w:pPr>
        <w:pStyle w:val="BulletCompact"/>
      </w:pPr>
      <w:r>
        <w:t>No utilices la extensión para reformular. Cada párrafo debe poder resumirse en una aportación nueva. Si dos párrafos dicen lo mismo con otras palabras, se integran o se reescriben.</w:t>
      </w:r>
    </w:p>
    <w:p>
      <w:pPr>
        <w:pStyle w:val="BulletCompact"/>
      </w:pPr>
      <w:r>
        <w:t>Los ejemplos son escenas posibles, no biografía. Deben variar en contexto: decisiones, aprendizaje, ocio, hogar, trabajo, amistades, colaboración, proyectos, cambios de planes, conversaciones o uso del tiempo, según corresponda.</w:t>
      </w:r>
    </w:p>
    <w:p>
      <w:pPr>
        <w:pStyle w:val="BulletCompact"/>
      </w:pPr>
      <w:r>
        <w:t>Distingue siempre desarrollo, pauta y ejemplo. Desarrollo explica qué ocurre y por qué; pauta concreta qué observar o practicar; ejemplo muestra cómo se reconoce en una escena y una posible respuesta.</w:t>
      </w:r>
    </w:p>
    <w:p>
      <w:pPr>
        <w:pStyle w:val="BulletCompact"/>
      </w:pPr>
      <w:r>
        <w:t>Conserva el número y el orden de características ya definidos para armonía, defecto y exceso. No sustituyas un punto por otro tema solo para evitar repetición: busca profundidad dentro del punto solicitado.</w:t>
      </w:r>
    </w:p>
    <w:p>
      <w:pPr>
        <w:pStyle w:val="BulletCompact"/>
      </w:pPr>
      <w:r>
        <w:t>No atribuyas causas históricas, familiares, traumáticas, médicas o psicológicas que no hayan sido contadas. Una casa o un signo pueden abrir preguntas, no probar una historia personal.</w:t>
      </w:r>
    </w:p>
    <w:p>
      <w:pPr>
        <w:pStyle w:val="BulletCompact"/>
      </w:pPr>
      <w:r>
        <w:t>Cuando una misma palabra clave reaparezca, cambia la función del desarrollo: primero se define; después se sitúa; más tarde se relaciona; en los estados se observa su medida. Repetir la palabra no es repetir la explicación si la función realmente avanza.</w:t>
      </w:r>
    </w:p>
    <w:p>
      <w:pPr>
        <w:pStyle w:val="Heading1"/>
      </w:pPr>
      <w:r>
        <w:t>3. Continuidad específica: de la Luna al Ascendente</w:t>
      </w:r>
    </w:p>
    <w:p>
      <w:r>
        <w:t>El Ascendente llega después de un bloque emocional. La transición debe ser clara: pasamos de «qué siento y qué necesito» a «cómo entro, me oriento y doy un primer paso». Una emoción puede influir en la respuesta inicial, pero no debe convertirse en el tema central del Ascendente.</w:t>
      </w:r>
    </w:p>
    <w:p>
      <w:r>
        <w:t>El lector ya comprende signo, casa, regente y estados. No reinicies la pedagogía general. Introduce solo lo específico del Ascendente: horizonte oriental, casa I, manera de comenzar, percepción inicial, adaptación corporal/atencional y estrategia de orientación.</w:t>
      </w:r>
    </w:p>
    <w:p>
      <w:r>
        <w:t>El eje I–VII se explicará dos veces en el informe, una desde el Ascendente y otra desde el Descendente. Aquí debes desarrollar la casa I y usar la VII solo como contrapunto. Reserva para el Descendente el análisis profundo de acuerdos, intimidad, expectativas y aprendizaje a través del vínculo.</w:t>
      </w:r>
    </w:p>
    <w:p>
      <w:r>
        <w:t>Si el regente del Ascendente ya apareció en el Sol o la Luna, cambia radicalmente la pregunta. Ahora interesa cómo ese planeta matiza la forma de iniciar, medir recursos, sostener ritmo y responder a lo nuevo. No interesa volver a explicar cómo se relaciona con identidad o necesidad emocional.</w:t>
      </w:r>
    </w:p>
    <w:p>
      <w:pPr>
        <w:pStyle w:val="Heading1"/>
      </w:pPr>
      <w:r>
        <w:t>4. Arquitectura obligatoria y profundidad mínima</w:t>
      </w:r>
    </w:p>
    <w:p>
      <w:r>
        <w:t>La estructura debe seguir el mismo recorrido que el Sol revisado. Los mínimos siguientes no son una invitación a rellenar espacio: cada párrafo debe desarrollar una idea distinta.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  <w:cantSplit/>
        </w:trPr>
        <w:tc>
          <w:tcPr>
            <w:tcW w:type="dxa" w:w="1984"/>
            <w:shd w:fill="F6E0D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Bloque</w:t>
            </w:r>
          </w:p>
        </w:tc>
        <w:tc>
          <w:tcPr>
            <w:tcW w:type="dxa" w:w="2324"/>
            <w:shd w:fill="F6E0D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Mínimo</w:t>
            </w:r>
          </w:p>
        </w:tc>
        <w:tc>
          <w:tcPr>
            <w:tcW w:type="dxa" w:w="4535"/>
            <w:shd w:fill="F6E0D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Qué debe aportar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Función y posición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3 párrafos de función común + conexión personalizada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Definir la puerta antes del signo. Después indicar posición, grado y contexto sin anticipar todos los estados.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Qué necesita el signo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Mínimo 4 párrafos amplios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Motivaciones, forma de expresarse, elemento/modalidad traducidos y una distinción que evite el estereotipo. Cerrar con necesidades por puntos.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Eje I–VII desde la casa I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Mínimo 6 párrafos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Explorar dimensiones distintas del territorio de experiencia. Cerrar con pautas propias de ese ámbito.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Regente y su posición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Mínimo 6 párrafos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Explicar qué añade el regente a ESTA puerta. Si ya apareció antes, no repetir su lectura anterior; cambiar la pregunta funcional.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Integración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4 párrafos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Desarrollar procesos y consecuencias que solo aparecen al reunir signo, casa/eje y regente. Cerrar con pautas.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Expresión armónica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4 párrafos + correspondencia completa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Después del desarrollo: características, una pauta por característica y un ejemplo enumerado por pauta, en el mismo orden.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Desarmonía por defecto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4 párrafos + correspondencia completa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Explicar cómo una capacidad queda con poco espacio, cómo se mantiene y qué coste aparece. Después característica → pauta → ejemplo.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Desarmonía por exceso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4 párrafos + correspondencia completa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Explicar cómo un recurso útil se vuelve difícil de detener, qué intenta conseguir y qué efectos tiene. Después característica → pauta → ejemplo.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/>
                <w:sz w:val="17"/>
              </w:rPr>
              <w:t>Armonización e integración final</w:t>
            </w:r>
          </w:p>
        </w:tc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Desarrollo equivalente al Sol revisado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CFCFC"/>
          </w:tcPr>
          <w:p>
            <w:pPr>
              <w:pStyle w:val="Small"/>
              <w:jc w:val="left"/>
            </w:pPr>
            <w:r>
              <w:rPr>
                <w:b w:val="0"/>
                <w:sz w:val="17"/>
              </w:rPr>
              <w:t>Dos recorridos diferenciados (defecto/exceso), punto de equilibrio, referencias, autoobservación y frases de integración con explicación.</w:t>
            </w:r>
          </w:p>
        </w:tc>
      </w:tr>
    </w:tbl>
    <w:p/>
    <w:p>
      <w:pPr>
        <w:pStyle w:val="Heading1"/>
      </w:pPr>
      <w:r>
        <w:t>5. Desarrollo de cada bloque del Ascendente</w:t>
      </w:r>
    </w:p>
    <w:p>
      <w:pPr>
        <w:pStyle w:val="Heading2"/>
      </w:pPr>
      <w:r>
        <w:t>Función y posición</w:t>
      </w:r>
    </w:p>
    <w:p>
      <w:pPr>
        <w:pStyle w:val="BulletCompact"/>
      </w:pPr>
      <w:r>
        <w:t>Primer párrafo: explica qué es el Ascendente como punto astronómico y qué simboliza en esta lectura: entrada a la experiencia, orientación y respuesta inicial. Aclara que no equivale a toda la personalidad.</w:t>
      </w:r>
    </w:p>
    <w:p>
      <w:pPr>
        <w:pStyle w:val="BulletCompact"/>
      </w:pPr>
      <w:r>
        <w:t>Segundo párrafo: desarrolla cómo se reconoce en situaciones nuevas o cambiantes: qué mira primero la persona, qué necesita comprobar, qué impulso aparece y cómo se transforma en un paso concreto.</w:t>
      </w:r>
    </w:p>
    <w:p>
      <w:pPr>
        <w:pStyle w:val="BulletCompact"/>
      </w:pPr>
      <w:r>
        <w:t>Tercer párrafo: explica el componente corporal sin hacer afirmaciones médicas. Puede observarse en ritmo, tensión, aceleración, necesidad de movimiento, pausa o referencias sensoriales, siempre como autoobservación.</w:t>
      </w:r>
    </w:p>
    <w:p>
      <w:pPr>
        <w:pStyle w:val="BulletCompact"/>
      </w:pPr>
      <w:r>
        <w:t>Después presenta signo, grado y cúspide de casa I. Formula la posición como una invitación a contrastar la manera de comenzar, no como destino ni temperamento fijo.</w:t>
      </w:r>
    </w:p>
    <w:p>
      <w:pPr>
        <w:pStyle w:val="Heading2"/>
      </w:pPr>
      <w:r>
        <w:t>Qué necesita el signo del Ascendente</w:t>
      </w:r>
    </w:p>
    <w:p>
      <w:pPr>
        <w:pStyle w:val="BulletCompact"/>
      </w:pPr>
      <w:r>
        <w:t>Interpreta el signo como estrategia de entrada: qué referencias busca al comienzo, qué tipo de información o margen necesita para moverse y qué recurso le ayuda a construir confianza.</w:t>
      </w:r>
    </w:p>
    <w:p>
      <w:pPr>
        <w:pStyle w:val="BulletCompact"/>
      </w:pPr>
      <w:r>
        <w:t>Traduce elemento y modalidad a comportamientos de orientación. No uses adjetivos aislados («lento», «intenso», «sociable»). Explica qué función cumple esa manera de empezar y cuándo necesita actualización.</w:t>
      </w:r>
    </w:p>
    <w:p>
      <w:pPr>
        <w:pStyle w:val="BulletCompact"/>
      </w:pPr>
      <w:r>
        <w:t>Incluye una distinción entre ritmo propio y resistencia automática. Un Ascendente puede necesitar tiempo sin que eso signifique incapacidad para actuar; puede actuar rápido sin que toda rapidez sea impulsividad.</w:t>
      </w:r>
    </w:p>
    <w:p>
      <w:pPr>
        <w:pStyle w:val="BulletCompact"/>
      </w:pPr>
      <w:r>
        <w:t>Cierra con necesidades concretas y observables: tiempo, información, movimiento, intercambio, estructura, margen, recursos, etc., según el signo.</w:t>
      </w:r>
    </w:p>
    <w:p>
      <w:pPr>
        <w:pStyle w:val="Heading2"/>
      </w:pPr>
      <w:r>
        <w:t>Eje Ascendente–Descendente desde la casa I</w:t>
      </w:r>
    </w:p>
    <w:p>
      <w:pPr>
        <w:pStyle w:val="BulletCompact"/>
      </w:pPr>
      <w:r>
        <w:t>Desarrolla al menos seis párrafos centrados en la casa I: posición de partida, autonomía, recursos propios, disponibilidad, primera decisión, límites de energía/tiempo y posibilidad de revisar la estrategia inicial.</w:t>
      </w:r>
    </w:p>
    <w:p>
      <w:pPr>
        <w:pStyle w:val="BulletCompact"/>
      </w:pPr>
      <w:r>
        <w:t>Introduce la casa VII solo para mostrar que toda entrada a una relación o situación compartida encuentra a otra persona con deseos propios. No profundices aquí en confianza, intimidad o compromiso; esos temas pertenecen al Descendente.</w:t>
      </w:r>
    </w:p>
    <w:p>
      <w:pPr>
        <w:pStyle w:val="BulletCompact"/>
      </w:pPr>
      <w:r>
        <w:t>Explica cómo una base personal facilita el encuentro: saber qué puedes sostener antes de prometer, conservar actividades/criterios propios y distinguir adaptación de desaparición de la propia posición.</w:t>
      </w:r>
    </w:p>
    <w:p>
      <w:pPr>
        <w:pStyle w:val="BulletCompact"/>
      </w:pPr>
      <w:r>
        <w:t>Incluye el aprendizaje inverso: el encuentro con otros también puede aportar información que ayude a actualizar una costumbre o una estrategia de inicio.</w:t>
      </w:r>
    </w:p>
    <w:p>
      <w:pPr>
        <w:pStyle w:val="BulletCompact"/>
      </w:pPr>
      <w:r>
        <w:t>Cierra con pautas propias de casa I y del primer paso. Deben poder aplicarse antes o al comienzo de una experiencia, no después de una larga negociación relacional.</w:t>
      </w:r>
    </w:p>
    <w:p>
      <w:pPr>
        <w:pStyle w:val="Heading2"/>
      </w:pPr>
      <w:r>
        <w:t>El regente y su posición</w:t>
      </w:r>
    </w:p>
    <w:p>
      <w:pPr>
        <w:pStyle w:val="BulletCompact"/>
      </w:pPr>
      <w:r>
        <w:t>Explica el regente como planeta que matiza la forma de poner en marcha el Ascendente. Pregunta qué valora, qué necesita comprobar o qué condición hace que la persona se implique.</w:t>
      </w:r>
    </w:p>
    <w:p>
      <w:pPr>
        <w:pStyle w:val="BulletCompact"/>
      </w:pPr>
      <w:r>
        <w:t>Interpreta su signo y casa como filtro sobre el comienzo: puede añadir necesidad de profundidad, intercambio, estructura, aprendizaje, servicio, creatividad, etc., pero siempre aplicado al acto de entrar y sostener el primer tramo.</w:t>
      </w:r>
    </w:p>
    <w:p>
      <w:pPr>
        <w:pStyle w:val="BulletCompact"/>
      </w:pPr>
      <w:r>
        <w:t>Si el regente está cerca del Descendente o en una casa relacional, no conviertas el Ascendente en un bloque de pareja. Explica cómo el vínculo puede influir en la orientación inicial sin quitar protagonismo a la base propia.</w:t>
      </w:r>
    </w:p>
    <w:p>
      <w:pPr>
        <w:pStyle w:val="BulletCompact"/>
      </w:pPr>
      <w:r>
        <w:t>Si el regente ya fue desarrollado, retoma una sola idea conocida y añade la consecuencia nueva. La continuidad debe sentirse como «ahora vemos qué hace esta misma energía cuando empiezas», no como una repetición.</w:t>
      </w:r>
    </w:p>
    <w:p>
      <w:pPr>
        <w:pStyle w:val="Heading2"/>
      </w:pPr>
      <w:r>
        <w:t>Integración de signo, eje y regente</w:t>
      </w:r>
    </w:p>
    <w:p>
      <w:pPr>
        <w:pStyle w:val="BulletCompact"/>
      </w:pPr>
      <w:r>
        <w:t>Desarrolla cuatro procesos que solo aparecen al combinar las piezas: preparación + prueba, estabilidad + actualización, recurso propio + información externa, continuidad + capacidad de cambiar de método.</w:t>
      </w:r>
    </w:p>
    <w:p>
      <w:pPr>
        <w:pStyle w:val="BulletCompact"/>
      </w:pPr>
      <w:r>
        <w:t>Incluye al menos una escena de comienzo realista: aceptar una propuesta, iniciar un aprendizaje, entrar en un grupo, probar una rutina, comenzar una colaboración o afrontar un cambio de plan.</w:t>
      </w:r>
    </w:p>
    <w:p>
      <w:pPr>
        <w:pStyle w:val="BulletCompact"/>
      </w:pPr>
      <w:r>
        <w:t>La conclusión debe responder a qué hace que un primer paso sea suficientemente seguro y sostenible, sin exigir garantía total.</w:t>
      </w:r>
    </w:p>
    <w:p>
      <w:pPr>
        <w:pStyle w:val="Heading2"/>
      </w:pPr>
      <w:r>
        <w:t>Expresión armónica</w:t>
      </w:r>
    </w:p>
    <w:p>
      <w:pPr>
        <w:pStyle w:val="BulletCompact"/>
      </w:pPr>
      <w:r>
        <w:t>Describe cómo se siente tener acceso a la estrategia de inicio sin quedar atrapada en ella: hay orientación, margen para observar, capacidad de decidir y posibilidad de ajustar después de empezar.</w:t>
      </w:r>
    </w:p>
    <w:p>
      <w:pPr>
        <w:pStyle w:val="BulletCompact"/>
      </w:pPr>
      <w:r>
        <w:t>Incluye qué permite disfrutar: familiarización, continuidad, curiosidad, presencia corporal o sensación de tener recursos, según la combinación.</w:t>
      </w:r>
    </w:p>
    <w:p>
      <w:pPr>
        <w:pStyle w:val="BulletCompact"/>
      </w:pPr>
      <w:r>
        <w:t>Explica qué ocurre después del primer paso: la persona puede aprender de la experiencia y modificar algo sin vivirlo como fracaso de la decisión inicial.</w:t>
      </w:r>
    </w:p>
    <w:p>
      <w:pPr>
        <w:pStyle w:val="BulletCompact"/>
      </w:pPr>
      <w:r>
        <w:t>Después, conserva las características previstas y crea una pauta y un ejemplo por cada una. No reducirlo a tres pasos generales.</w:t>
      </w:r>
    </w:p>
    <w:p>
      <w:pPr>
        <w:pStyle w:val="Heading2"/>
      </w:pPr>
      <w:r>
        <w:t>Desarmonía por defecto</w:t>
      </w:r>
    </w:p>
    <w:p>
      <w:pPr>
        <w:pStyle w:val="BulletCompact"/>
      </w:pPr>
      <w:r>
        <w:t>Explica qué recurso de orientación tiene poco espacio: no darse tiempo, no reconocer preferencias/recursos, adoptar el ritmo ajeno, abandonar antes de conocer o no expresar la propia velocidad.</w:t>
      </w:r>
    </w:p>
    <w:p>
      <w:pPr>
        <w:pStyle w:val="BulletCompact"/>
      </w:pPr>
      <w:r>
        <w:t>Distingue rapidez elegida de prisa automática y flexibilidad elegida de falta de posición propia. El defecto no es «hacer poco», sino disponer poco de una capacidad necesaria para orientarse.</w:t>
      </w:r>
    </w:p>
    <w:p>
      <w:pPr>
        <w:pStyle w:val="BulletCompact"/>
      </w:pPr>
      <w:r>
        <w:t>Muestra el coste posterior: compromiso que no encaja, necesidad de detenerse de golpe, agotamiento, pérdida de continuidad o conclusión prematura sobre las propias posibilidades.</w:t>
      </w:r>
    </w:p>
    <w:p>
      <w:pPr>
        <w:pStyle w:val="BulletCompact"/>
      </w:pPr>
      <w:r>
        <w:t>Mantén las siete características actuales y desarrolla cada una con pauta y ejemplo distintos.</w:t>
      </w:r>
    </w:p>
    <w:p>
      <w:pPr>
        <w:pStyle w:val="Heading2"/>
      </w:pPr>
      <w:r>
        <w:t>Desarmonía por exceso</w:t>
      </w:r>
    </w:p>
    <w:p>
      <w:pPr>
        <w:pStyle w:val="BulletCompact"/>
      </w:pPr>
      <w:r>
        <w:t>Explica cómo una estrategia útil de seguridad se vuelve requisito rígido: querer conocer demasiado antes de empezar, conservar por familiaridad, convertir un hábito en regla o controlar detalles para evitar incertidumbre.</w:t>
      </w:r>
    </w:p>
    <w:p>
      <w:pPr>
        <w:pStyle w:val="BulletCompact"/>
      </w:pPr>
      <w:r>
        <w:t>Aclara qué intenta proteger el exceso: continuidad, recursos, autonomía, previsibilidad o sensación de control. El texto debe mostrar la lógica del recurso antes de explicar su coste.</w:t>
      </w:r>
    </w:p>
    <w:p>
      <w:pPr>
        <w:pStyle w:val="BulletCompact"/>
      </w:pPr>
      <w:r>
        <w:t>Diferencia firmeza de rigidez y prudencia de aplazamiento indefinido. El exceso se reconoce cuando la estrategia impide incorporar información actual o probar algo en condiciones asumibles.</w:t>
      </w:r>
    </w:p>
    <w:p>
      <w:pPr>
        <w:pStyle w:val="BulletCompact"/>
      </w:pPr>
      <w:r>
        <w:t>Mantén las siete características actuales y desarrolla cada una con pauta y ejemplo propios, sin reciclar los del defecto.</w:t>
      </w:r>
    </w:p>
    <w:p>
      <w:pPr>
        <w:pStyle w:val="Heading2"/>
      </w:pPr>
      <w:r>
        <w:t>Ascendente: armonización e integración final</w:t>
      </w:r>
    </w:p>
    <w:p>
      <w:r>
        <w:rPr>
          <w:b/>
        </w:rPr>
        <w:t xml:space="preserve">Desde el defecto. </w:t>
      </w:r>
      <w:r>
        <w:t>Desarrolla al menos dos párrafos: primero qué capacidad necesita recuperar espacio; después cómo practicarla de forma gradual sin convertir el ejercicio en una obligación. Cierra con 3 puntos concretos y accionables.</w:t>
      </w:r>
    </w:p>
    <w:p>
      <w:r>
        <w:rPr>
          <w:b/>
        </w:rPr>
        <w:t xml:space="preserve">Desde el exceso. </w:t>
      </w:r>
      <w:r>
        <w:t>Desarrolla al menos dos párrafos: primero qué recurso necesita recuperar medida; después qué sucede cuando la persona detiene, delimita o redistribuye ese recurso. Cierra con 3 puntos concretos diferentes de los usados para el defecto.</w:t>
      </w:r>
    </w:p>
    <w:p>
      <w:r>
        <w:rPr>
          <w:b/>
        </w:rPr>
        <w:t xml:space="preserve">El punto de equilibrio. </w:t>
      </w:r>
      <w:r>
        <w:t>Redacta al menos dos párrafos que integren la puerta completa sin repetir la introducción. Debe quedar claro qué significa usar esa función con flexibilidad y qué puede seguir siendo incómodo sin dejar de ser equilibrado. Cierra con 4 referencias breves para reconocer el equilibrio.</w:t>
      </w:r>
    </w:p>
    <w:p>
      <w:r>
        <w:rPr>
          <w:b/>
        </w:rPr>
        <w:t xml:space="preserve">Preguntas de autoobservación. </w:t>
      </w:r>
      <w:r>
        <w:t>Antes de las preguntas, incluye uno o dos párrafos que expliquen cómo utilizarlas sobre una escena concreta. Formula 5 preguntas que recorran intención/necesidad, hechos, comunicación, medida y siguiente paso.</w:t>
      </w:r>
    </w:p>
    <w:p>
      <w:r>
        <w:rPr>
          <w:b/>
        </w:rPr>
        <w:t xml:space="preserve">Frases de integración. </w:t>
      </w:r>
      <w:r>
        <w:t>No dejar una única frase aislada. Explica brevemente para qué sirve la frase central y cómo usar las frases de apoyo. Incluye: 1 frase central + 4 frases de apoyo («para empezar», «para recuperar medida», «para revisar» y «para reunir lo aprendido»), adaptadas a la puerta.</w:t>
      </w:r>
    </w:p>
    <w:p>
      <w:pPr>
        <w:pStyle w:val="Heading1"/>
      </w:pPr>
      <w:r>
        <w:t>6. Regla especial del eje I–VII: evitar duplicación con el Descendente</w:t>
      </w:r>
    </w:p>
    <w:p>
      <w:pPr>
        <w:pStyle w:val="BulletCompact"/>
      </w:pPr>
      <w:r>
        <w:t>En el Ascendente, el eje se narra desde «yo entro y me posiciono». La casa VII aparece solo para recordar que el encuentro introduce otra voluntad.</w:t>
      </w:r>
    </w:p>
    <w:p>
      <w:pPr>
        <w:pStyle w:val="BulletCompact"/>
      </w:pPr>
      <w:r>
        <w:t>En el Descendente, el mismo eje se narrará desde «qué ocurre cuando decidimos, confiamos o compartimos entre dos». No copies el bloque del eje y cambies el orden de las frases.</w:t>
      </w:r>
    </w:p>
    <w:p>
      <w:pPr>
        <w:pStyle w:val="BulletCompact"/>
      </w:pPr>
      <w:r>
        <w:t>Ejemplo de diferencia: Ascendente → «¿qué disponibilidad tengo antes de comprometerme?». Descendente → «¿qué condiciones necesitamos acordar para que el compromiso sea compartido?».</w:t>
      </w:r>
    </w:p>
    <w:p>
      <w:pPr>
        <w:pStyle w:val="BulletCompact"/>
      </w:pPr>
      <w:r>
        <w:t>Ejemplo de diferencia: Ascendente → «¿qué ritmo puedo sostener?». Descendente → «¿cómo negociamos ritmos distintos sin que uno desaparezca dentro del vínculo?».</w:t>
      </w:r>
    </w:p>
    <w:p>
      <w:pPr>
        <w:pStyle w:val="BulletCompact"/>
      </w:pPr>
      <w:r>
        <w:t>Si una idea del signo opuesto es necesaria en el Ascendente, se menciona como contraste de una o dos frases y se reserva su desarrollo para la cuarta puerta.</w:t>
      </w:r>
    </w:p>
    <w:p>
      <w:pPr>
        <w:pStyle w:val="Heading1"/>
      </w:pPr>
      <w:r>
        <w:t>7. Continuidad concreta con el dossier actual: Ascendente</w:t>
      </w:r>
    </w:p>
    <w:p>
      <w:r>
        <w:t>El bloque actual funciona como boceto estructural, pero debe ampliarse hasta el estándar del Sol revisado. Mantén sus características ya definidas salvo que en una revisión posterior se acuerde expresamente cambiarlas.</w:t>
      </w:r>
    </w:p>
    <w:p>
      <w:pPr>
        <w:pStyle w:val="BulletCompact"/>
      </w:pPr>
      <w:r>
        <w:t>La definición actual es correcta como arranque, pero debe ampliarse hasta tres párrafos de función antes de la interpretación de Tauro. Añade orientación, respuesta inicial y componente corporal/atencional sin convertirlo en salud.</w:t>
      </w:r>
    </w:p>
    <w:p>
      <w:pPr>
        <w:pStyle w:val="BulletCompact"/>
      </w:pPr>
      <w:r>
        <w:t>Tauro necesita un desarrollo mínimo de cuatro párrafos: base tangible, ritmo y familiarización, tierra/fijo traducidos, disfrute/recursos y distinción entre constancia y resistencia automática.</w:t>
      </w:r>
    </w:p>
    <w:p>
      <w:pPr>
        <w:pStyle w:val="BulletCompact"/>
      </w:pPr>
      <w:r>
        <w:t>El eje Tauro–Escorpio debe crecer hasta seis párrafos desde la perspectiva de casa I. Conserva la idea «qué puedo sostener yo» y reserva la profundidad de confianza/compromiso para el Descendente.</w:t>
      </w:r>
    </w:p>
    <w:p>
      <w:pPr>
        <w:pStyle w:val="BulletCompact"/>
      </w:pPr>
      <w:r>
        <w:t>Venus en Escorpio en casa VI debe leerse como regente del modo de comenzar. Si Venus ya fue tratada en el Sol, no repitas valor/afecto en general: explica cómo el valor, la implicación y los hechos cotidianos influyen en la decisión de entrar, probar y sostener.</w:t>
      </w:r>
    </w:p>
    <w:p>
      <w:pPr>
        <w:pStyle w:val="BulletCompact"/>
      </w:pPr>
      <w:r>
        <w:t>La integración debe pasar a cuatro párrafos, mostrando cómo se relacionan base, prueba, implicación y actualización de hábitos.</w:t>
      </w:r>
    </w:p>
    <w:p>
      <w:pPr>
        <w:pStyle w:val="BulletCompact"/>
      </w:pPr>
      <w:r>
        <w:t>La armonía actual debe ampliar sus párrafos introductorios y desarrollar una pauta + ejemplo por cada característica existente. Los tres pasos actuales pueden conservarse como síntesis final, pero no sustituir la correspondencia completa.</w:t>
      </w:r>
    </w:p>
    <w:p>
      <w:pPr>
        <w:pStyle w:val="BulletCompact"/>
      </w:pPr>
      <w:r>
        <w:t>Defecto y exceso ya ofrecen siete características y desarrollos útiles. Mantén los puntos y refuerza los cuatro párrafos introductorios de mecanismo antes de la lista.</w:t>
      </w:r>
    </w:p>
    <w:p>
      <w:pPr>
        <w:pStyle w:val="BulletCompact"/>
      </w:pPr>
      <w:r>
        <w:t>La armonización final necesita el mismo cierre desarrollado del Sol: recorridos desde defecto/exceso, punto de equilibrio, referencias, autoobservación explicada y frase central con cuatro frases de apoyo.</w:t>
      </w:r>
    </w:p>
    <w:p>
      <w:pPr>
        <w:pStyle w:val="Heading1"/>
      </w:pPr>
      <w:r>
        <w:t>8. Revisión obligatoria antes de entregar</w:t>
      </w:r>
    </w:p>
    <w:p>
      <w:pPr>
        <w:pStyle w:val="BulletCompact"/>
      </w:pPr>
      <w:r>
        <w:t>¿Cada apartado responde a su pregunta específica y no a la de otra puerta?</w:t>
      </w:r>
    </w:p>
    <w:p>
      <w:pPr>
        <w:pStyle w:val="BulletCompact"/>
      </w:pPr>
      <w:r>
        <w:t>¿Cada párrafo añade algo que no estaba explicado antes?</w:t>
      </w:r>
    </w:p>
    <w:p>
      <w:pPr>
        <w:pStyle w:val="BulletCompact"/>
      </w:pPr>
      <w:r>
        <w:t>¿Las transiciones muestran por qué se introduce la siguiente pieza?</w:t>
      </w:r>
    </w:p>
    <w:p>
      <w:pPr>
        <w:pStyle w:val="BulletCompact"/>
      </w:pPr>
      <w:r>
        <w:t>¿Los estados se desprenden de capacidades preparadas previamente en signo, casa/eje, regente o integración?</w:t>
      </w:r>
    </w:p>
    <w:p>
      <w:pPr>
        <w:pStyle w:val="BulletCompact"/>
      </w:pPr>
      <w:r>
        <w:t>¿Defecto y exceso se distinguen por funcionamiento y no solo por intensidad del vocabulario?</w:t>
      </w:r>
    </w:p>
    <w:p>
      <w:pPr>
        <w:pStyle w:val="BulletCompact"/>
      </w:pPr>
      <w:r>
        <w:t>¿Cada característica conserva su pauta y su ejemplo correspondiente, en el mismo orden?</w:t>
      </w:r>
    </w:p>
    <w:p>
      <w:pPr>
        <w:pStyle w:val="BulletCompact"/>
      </w:pPr>
      <w:r>
        <w:t>¿Los ejemplos son variados y no inventan circunstancias personales?</w:t>
      </w:r>
    </w:p>
    <w:p>
      <w:pPr>
        <w:pStyle w:val="BulletCompact"/>
      </w:pPr>
      <w:r>
        <w:t>¿Los términos astrológicos se entienden sin conocimientos previos?</w:t>
      </w:r>
    </w:p>
    <w:p>
      <w:pPr>
        <w:pStyle w:val="BulletCompact"/>
      </w:pPr>
      <w:r>
        <w:t>¿Se ha evitado repetir el texto fijo en gris dentro del bloque personalizado?</w:t>
      </w:r>
    </w:p>
    <w:p>
      <w:pPr>
        <w:pStyle w:val="BulletCompact"/>
      </w:pPr>
      <w:r>
        <w:t>¿La puerta Ascendente termina aportando una comprensión diferente de Sol, Luna, Ascendente y Descendente, en lugar de ser una versión con otras palabras?</w:t>
      </w:r>
    </w:p>
    <w:p>
      <w:pPr>
        <w:pStyle w:val="BulletCompact"/>
      </w:pPr>
      <w:r>
        <w:t>¿La lectura explica cómo empieza una experiencia y no cómo debería terminar?</w:t>
      </w:r>
    </w:p>
    <w:p>
      <w:pPr>
        <w:pStyle w:val="BulletCompact"/>
      </w:pPr>
      <w:r>
        <w:t>¿El componente corporal se usa como observación de ritmo/respuesta y no como diagnóstico?</w:t>
      </w:r>
    </w:p>
    <w:p>
      <w:pPr>
        <w:pStyle w:val="BulletCompact"/>
      </w:pPr>
      <w:r>
        <w:t>¿La casa I tiene verdadero desarrollo propio y la casa VII no invade el futuro bloque del Descendente?</w:t>
      </w:r>
    </w:p>
    <w:p>
      <w:pPr>
        <w:pStyle w:val="BulletCompact"/>
      </w:pPr>
      <w:r>
        <w:t>¿Se distingue necesidad de base de necesidad de certeza total?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071"/>
            <w:shd w:fill="F6E0D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Criterio de entrega. </w:t>
            </w:r>
            <w:r>
              <w:t>La revisión debe producir correcciones antes de entregar. Si una conexión falta, se escribe; si una idea se repite sin aportar profundidad, se integra o se elimina; si un estado introduce un tema no preparado, se completa antes el desarrollo correspondiente.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5B5B"/>
        <w:sz w:val="16"/>
      </w:rPr>
      <w:t xml:space="preserve">SARANA VEDA · INSTRUCCIONES ASCENDENTE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B877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B877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B5B5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80" w:line="259" w:lineRule="auto"/>
    </w:pPr>
    <w:rPr>
      <w:rFonts w:ascii="Arial" w:hAnsi="Arial"/>
      <w:color w:val="222222"/>
      <w:sz w:val="20"/>
    </w:rPr>
  </w:style>
  <w:style w:type="paragraph" w:customStyle="1" w:styleId="Small">
    <w:name w:val="Small"/>
    <w:pPr>
      <w:spacing w:after="80"/>
    </w:pPr>
    <w:rPr>
      <w:rFonts w:ascii="Arial" w:hAnsi="Arial"/>
      <w:color w:val="5B5B5B"/>
      <w:sz w:val="18"/>
    </w:rPr>
  </w:style>
  <w:style w:type="paragraph" w:customStyle="1" w:styleId="BulletCompact">
    <w:name w:val="Bullet Compact"/>
    <w:basedOn w:val="ListBullet"/>
    <w:pPr>
      <w:spacing w:after="40"/>
    </w:pPr>
    <w:rPr>
      <w:rFonts w:ascii="Arial" w:hAnsi="Arial"/>
      <w:sz w:val="20"/>
    </w:rPr>
  </w:style>
  <w:style w:type="paragraph" w:customStyle="1" w:styleId="NumberCompact">
    <w:name w:val="Number Compact"/>
    <w:basedOn w:val="ListNumber"/>
    <w:pPr>
      <w:spacing w:after="6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