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p>
    <w:p>
      <w:pPr>
        <w:keepNext/>
      </w:pPr>
    </w:p>
    <w:p>
      <w:pPr>
        <w:keepNext/>
      </w:pPr>
    </w:p>
    <w:p>
      <w:pPr>
        <w:keepNext/>
      </w:pPr>
    </w:p>
    <w:p>
      <w:pPr>
        <w:jc w:val="center"/>
      </w:pPr>
      <w:r>
        <w:rPr>
          <w:rFonts w:ascii="Arial" w:hAnsi="Arial"/>
          <w:b/>
          <w:color w:val="5B5B5B"/>
          <w:sz w:val="18"/>
        </w:rPr>
        <w:t>ASTROLOGÍA SARANA VEDA</w:t>
      </w:r>
    </w:p>
    <w:p>
      <w:pPr>
        <w:pStyle w:val="Title"/>
        <w:jc w:val="center"/>
      </w:pPr>
      <w:r>
        <w:t>INSTRUCCIONES GENERALES</w:t>
        <w:br/>
        <w:t>Y DE CONTINUIDAD</w:t>
      </w:r>
    </w:p>
    <w:p>
      <w:pPr>
        <w:jc w:val="center"/>
      </w:pPr>
      <w:r>
        <w:rPr>
          <w:rFonts w:ascii="Arial" w:hAnsi="Arial"/>
          <w:b/>
          <w:color w:val="222222"/>
          <w:sz w:val="34"/>
        </w:rPr>
        <w:t>PUERTA DESCENDENTE</w:t>
      </w:r>
    </w:p>
    <w:p>
      <w:pPr>
        <w:pStyle w:val="Subtitle"/>
        <w:jc w:val="center"/>
      </w:pPr>
      <w:r>
        <w:t>Vínculo · reciprocidad · confianza · acuerdos · aprendizaje con el otro</w:t>
      </w:r>
    </w:p>
    <w:p/>
    <w:tbl>
      <w:tblPr>
        <w:tblW w:type="auto" w:w="0"/>
        <w:jc w:val="center"/>
        <w:tblLayout w:type="fixed"/>
        <w:tblLook w:firstColumn="1" w:firstRow="1" w:lastColumn="0" w:lastRow="0" w:noHBand="0" w:noVBand="1" w:val="04A0"/>
      </w:tblPr>
      <w:tblGrid>
        <w:gridCol w:w="9581"/>
      </w:tblGrid>
      <w:tr>
        <w:tc>
          <w:tcPr>
            <w:tcW w:type="dxa" w:w="8787"/>
            <w:shd w:fill="F6E0D0"/>
            <w:tcMar>
              <w:top w:w="180" w:type="dxa"/>
              <w:start w:w="220" w:type="dxa"/>
              <w:bottom w:w="180" w:type="dxa"/>
              <w:end w:w="220" w:type="dxa"/>
            </w:tcMar>
          </w:tcPr>
          <w:p>
            <w:pPr>
              <w:pStyle w:val="Callout"/>
              <w:jc w:val="left"/>
            </w:pPr>
            <w:r>
              <w:rPr>
                <w:b/>
              </w:rPr>
              <w:t xml:space="preserve">Objetivo de esta guía. </w:t>
            </w:r>
            <w:r>
              <w:t>Desarrollar la puerta Descendente con la misma profundidad, progresión y criterio de continuidad alcanzados en el bloque del Sol ya revisado. Este documento debe servir tanto para completar el dossier actual como para redactar futuros informes de Fase 1.</w:t>
            </w:r>
          </w:p>
        </w:tc>
      </w:tr>
    </w:tbl>
    <w:p/>
    <w:p>
      <w:pPr>
        <w:pStyle w:val="Small"/>
        <w:jc w:val="center"/>
      </w:pPr>
      <w:r>
        <w:t>Documento interno reutilizable · Fase 1 · Sol · Luna · Ascendente · Descendente</w:t>
      </w:r>
    </w:p>
    <w:p>
      <w:r>
        <w:br w:type="page"/>
      </w:r>
    </w:p>
    <w:p>
      <w:pPr>
        <w:pStyle w:val="Heading1"/>
      </w:pPr>
      <w:r>
        <w:t>1. Regla del texto fijo resaltado en gris</w:t>
      </w:r>
    </w:p>
    <w:tbl>
      <w:tblPr>
        <w:tblW w:type="auto" w:w="0"/>
        <w:jc w:val="center"/>
        <w:tblLayout w:type="fixed"/>
        <w:tblLook w:firstColumn="1" w:firstRow="1" w:lastColumn="0" w:lastRow="0" w:noHBand="0" w:noVBand="1" w:val="04A0"/>
      </w:tblPr>
      <w:tblGrid>
        <w:gridCol w:w="9581"/>
      </w:tblGrid>
      <w:tr>
        <w:tc>
          <w:tcPr>
            <w:tcW w:type="dxa" w:w="9184"/>
            <w:shd w:fill="E7E6E6"/>
            <w:tcMar>
              <w:top w:w="170" w:type="dxa"/>
              <w:start w:w="190" w:type="dxa"/>
              <w:bottom w:w="170" w:type="dxa"/>
              <w:end w:w="190" w:type="dxa"/>
            </w:tcMar>
          </w:tcPr>
          <w:p>
            <w:pPr>
              <w:pStyle w:val="Callout"/>
            </w:pPr>
            <w:r>
              <w:rPr>
                <w:b/>
              </w:rPr>
              <w:t xml:space="preserve">El texto resaltado en gris del dossier se considera TEXTO FIJO Y GENERAL de la Fase 1. </w:t>
            </w:r>
            <w:r>
              <w:t>No debe reescribirse, resumirse ni sustituirse por otra versión en futuros informes. Solo se adaptarán los elementos que necesariamente cambian de una persona a otra: [Nombre], concordancia gramatical cuando proceda y datos personales explícitos que formen parte de una frase variable. El contenido conceptual, la secuencia explicativa y las advertencias de lectura se conservan.</w:t>
            </w:r>
          </w:p>
        </w:tc>
      </w:tr>
    </w:tbl>
    <w:p>
      <w:r>
        <w:t>Ese texto fijo cumple una función pedagógica previa: explica las cuatro puertas, los estados de armonía/defecto/exceso y la manera de leer el informe. Por tanto, los bloques personalizados no deben volver a explicar esas mismas ideas desde cero.</w:t>
      </w:r>
    </w:p>
    <w:p>
      <w:r>
        <w:t>Cuando una puerta necesite recordar una idea ya presentada en el texto gris, basta una referencia breve y después debe añadirse información nueva. La continuidad se mide por lo que se profundiza, no por la cantidad de veces que se repite una definición.</w:t>
      </w:r>
    </w:p>
    <w:p>
      <w:r>
        <w:t>El lenguaje general debe seguir siendo no determinista: se formulan posibilidades para observar, no hechos biográficos no contados por la persona. La astrología se presenta como lenguaje simbólico para reflexionar, no como prueba de personalidad ni predicción.</w:t>
      </w:r>
    </w:p>
    <w:p>
      <w:pPr>
        <w:pStyle w:val="Heading1"/>
      </w:pPr>
      <w:r>
        <w:t>2. Reglas transversales de redacción</w:t>
      </w:r>
    </w:p>
    <w:p>
      <w:pPr>
        <w:pStyle w:val="BulletCompact"/>
      </w:pPr>
      <w:r>
        <w:t>Escribe para una persona que no conoce astrología. Cada término técnico se explica cuando aparece y se traduce inmediatamente a una experiencia comprensible.</w:t>
      </w:r>
    </w:p>
    <w:p>
      <w:pPr>
        <w:pStyle w:val="BulletCompact"/>
      </w:pPr>
      <w:r>
        <w:t>Mantén siempre la pregunta específica de esta puerta: «¿Cómo puedo compartir mi vida sin dejar de escucharme?». Si un párrafo no ayuda a responderla, debe revisarse o moverse a otra puerta.</w:t>
      </w:r>
    </w:p>
    <w:p>
      <w:pPr>
        <w:pStyle w:val="BulletCompact"/>
      </w:pPr>
      <w:r>
        <w:t>Diferencia esta puerta de las demás. El Descendente no describe «el tipo de persona que llegará» ni permite afirmar que todo lo que hace el otro sea una proyección propia. Su centro es el campo relacional: qué sucede cuando hay dos voluntades, dos necesidades y decisiones que deben poder negociarse con igualdad, consentimiento y autonomía.</w:t>
      </w:r>
    </w:p>
    <w:p>
      <w:pPr>
        <w:pStyle w:val="BulletCompact"/>
      </w:pPr>
      <w:r>
        <w:t>Antes de redactar una sección, revisa todo lo anterior. Cada nuevo apartado debe aportar una función distinta: definición, matiz, contexto, proceso, consecuencia, señal de equilibrio o práctica.</w:t>
      </w:r>
    </w:p>
    <w:p>
      <w:pPr>
        <w:pStyle w:val="BulletCompact"/>
      </w:pPr>
      <w:r>
        <w:t>No utilices la extensión para reformular. Cada párrafo debe poder resumirse en una aportación nueva. Si dos párrafos dicen lo mismo con otras palabras, se integran o se reescriben.</w:t>
      </w:r>
    </w:p>
    <w:p>
      <w:pPr>
        <w:pStyle w:val="BulletCompact"/>
      </w:pPr>
      <w:r>
        <w:t>Los ejemplos son escenas posibles, no biografía. Deben variar en contexto: decisiones, aprendizaje, ocio, hogar, trabajo, amistades, colaboración, proyectos, cambios de planes, conversaciones o uso del tiempo, según corresponda.</w:t>
      </w:r>
    </w:p>
    <w:p>
      <w:pPr>
        <w:pStyle w:val="BulletCompact"/>
      </w:pPr>
      <w:r>
        <w:t>Distingue siempre desarrollo, pauta y ejemplo. Desarrollo explica qué ocurre y por qué; pauta concreta qué observar o practicar; ejemplo muestra cómo se reconoce en una escena y una posible respuesta.</w:t>
      </w:r>
    </w:p>
    <w:p>
      <w:pPr>
        <w:pStyle w:val="BulletCompact"/>
      </w:pPr>
      <w:r>
        <w:t>Conserva el número y el orden de características ya definidos para armonía, defecto y exceso. No sustituyas un punto por otro tema solo para evitar repetición: busca profundidad dentro del punto solicitado.</w:t>
      </w:r>
    </w:p>
    <w:p>
      <w:pPr>
        <w:pStyle w:val="BulletCompact"/>
      </w:pPr>
      <w:r>
        <w:t>No atribuyas causas históricas, familiares, traumáticas, médicas o psicológicas que no hayan sido contadas. Una casa o un signo pueden abrir preguntas, no probar una historia personal.</w:t>
      </w:r>
    </w:p>
    <w:p>
      <w:pPr>
        <w:pStyle w:val="BulletCompact"/>
      </w:pPr>
      <w:r>
        <w:t>Cuando una misma palabra clave reaparezca, cambia la función del desarrollo: primero se define; después se sitúa; más tarde se relaciona; en los estados se observa su medida. Repetir la palabra no es repetir la explicación si la función realmente avanza.</w:t>
      </w:r>
    </w:p>
    <w:p>
      <w:pPr>
        <w:pStyle w:val="Heading1"/>
      </w:pPr>
      <w:r>
        <w:t>3. Continuidad específica: del Ascendente al Descendente</w:t>
      </w:r>
    </w:p>
    <w:p>
      <w:r>
        <w:t>El lector ya conoce el eje I–VII desde la perspectiva del Ascendente. El Descendente no debe reabrir esa explicación completa. Utiliza un puente breve: la casa I mostró la posición de partida; ahora la casa VII observa qué ocurre cuando esa posición se encuentra con otra persona que también decide.</w:t>
      </w:r>
    </w:p>
    <w:p>
      <w:r>
        <w:t>El cambio de pregunta es esencial. En el Ascendente importaba «qué puedo sostener yo al empezar». En el Descendente importa «qué podemos acordar entre dos y cómo conservo voz dentro de lo compartido».</w:t>
      </w:r>
    </w:p>
    <w:p>
      <w:r>
        <w:t>Evita convertir el Descendente en una descripción de pareja únicamente. La casa VII también permite explorar asociaciones, colaboraciones y otros vínculos de igualdad donde existen acuerdos, expectativas y responsabilidades compartidas.</w:t>
      </w:r>
    </w:p>
    <w:p>
      <w:r>
        <w:t>La profundidad relacional debe formularse sin determinismo. Puedes hablar de necesidades de confianza, claridad, intimidad, reciprocidad o libertad, pero no afirmar que la persona atraerá inevitablemente determinados perfiles ni que deba vivir crisis o relaciones intensas.</w:t>
      </w:r>
    </w:p>
    <w:p>
      <w:r>
        <w:t>Cuando un tema ya apareció en el Sol, la Luna o el Ascendente, el Descendente debe añadir la dimensión de mutualidad: qué cambia porque hay otro sujeto con su propia perspectiva, qué debe acordarse y qué no puede decidirse unilateralmente.</w:t>
      </w:r>
    </w:p>
    <w:p>
      <w:pPr>
        <w:pStyle w:val="Heading1"/>
      </w:pPr>
      <w:r>
        <w:t>4. Arquitectura obligatoria y profundidad mínima</w:t>
      </w:r>
    </w:p>
    <w:p>
      <w:r>
        <w:t>La estructura debe seguir el mismo recorrido que el Sol revisado. Los mínimos siguientes no son una invitación a rellenar espacio: cada párrafo debe desarrollar una idea distinta.</w:t>
      </w:r>
    </w:p>
    <w:tbl>
      <w:tblPr>
        <w:tblW w:type="auto" w:w="0"/>
        <w:jc w:val="center"/>
        <w:tblLayout w:type="fixed"/>
        <w:tblLook w:firstColumn="1" w:firstRow="1" w:lastColumn="0" w:lastRow="0" w:noHBand="0" w:noVBand="1" w:val="04A0"/>
      </w:tblPr>
      <w:tblGrid>
        <w:gridCol w:w="3194"/>
        <w:gridCol w:w="3194"/>
        <w:gridCol w:w="3194"/>
      </w:tblGrid>
      <w:tr>
        <w:trPr>
          <w:tblHeader w:val="true"/>
          <w:cantSplit/>
        </w:trPr>
        <w:tc>
          <w:tcPr>
            <w:tcW w:type="dxa" w:w="1984"/>
            <w:shd w:fill="F6E0D0"/>
            <w:tcMar>
              <w:top w:w="100" w:type="dxa"/>
              <w:start w:w="100" w:type="dxa"/>
              <w:bottom w:w="100" w:type="dxa"/>
              <w:end w:w="100" w:type="dxa"/>
            </w:tcMar>
            <w:vAlign w:val="center"/>
          </w:tcPr>
          <w:p>
            <w:pPr>
              <w:jc w:val="center"/>
            </w:pPr>
            <w:r>
              <w:rPr>
                <w:b/>
                <w:sz w:val="19"/>
              </w:rPr>
              <w:t>Bloque</w:t>
            </w:r>
          </w:p>
        </w:tc>
        <w:tc>
          <w:tcPr>
            <w:tcW w:type="dxa" w:w="2324"/>
            <w:shd w:fill="F6E0D0"/>
            <w:tcMar>
              <w:top w:w="100" w:type="dxa"/>
              <w:start w:w="100" w:type="dxa"/>
              <w:bottom w:w="100" w:type="dxa"/>
              <w:end w:w="100" w:type="dxa"/>
            </w:tcMar>
            <w:vAlign w:val="center"/>
          </w:tcPr>
          <w:p>
            <w:pPr>
              <w:jc w:val="center"/>
            </w:pPr>
            <w:r>
              <w:rPr>
                <w:b/>
                <w:sz w:val="19"/>
              </w:rPr>
              <w:t>Mínimo</w:t>
            </w:r>
          </w:p>
        </w:tc>
        <w:tc>
          <w:tcPr>
            <w:tcW w:type="dxa" w:w="4535"/>
            <w:shd w:fill="F6E0D0"/>
            <w:tcMar>
              <w:top w:w="100" w:type="dxa"/>
              <w:start w:w="100" w:type="dxa"/>
              <w:bottom w:w="100" w:type="dxa"/>
              <w:end w:w="100" w:type="dxa"/>
            </w:tcMar>
            <w:vAlign w:val="center"/>
          </w:tcPr>
          <w:p>
            <w:pPr>
              <w:jc w:val="center"/>
            </w:pPr>
            <w:r>
              <w:rPr>
                <w:b/>
                <w:sz w:val="19"/>
              </w:rPr>
              <w:t>Qué debe aportar</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Función y posición</w:t>
            </w:r>
          </w:p>
        </w:tc>
        <w:tc>
          <w:tcPr>
            <w:tcW w:type="dxa" w:w="2324"/>
            <w:tcMar>
              <w:top w:w="100" w:type="dxa"/>
              <w:start w:w="100" w:type="dxa"/>
              <w:bottom w:w="100" w:type="dxa"/>
              <w:end w:w="100" w:type="dxa"/>
            </w:tcMar>
            <w:vAlign w:val="center"/>
            <w:shd w:fill="FCFCFC"/>
          </w:tcPr>
          <w:p>
            <w:pPr>
              <w:pStyle w:val="Small"/>
              <w:jc w:val="left"/>
            </w:pPr>
            <w:r>
              <w:rPr>
                <w:b w:val="0"/>
                <w:sz w:val="17"/>
              </w:rPr>
              <w:t>3 párrafos de función común + conexión personalizada</w:t>
            </w:r>
          </w:p>
        </w:tc>
        <w:tc>
          <w:tcPr>
            <w:tcW w:type="dxa" w:w="4535"/>
            <w:tcMar>
              <w:top w:w="100" w:type="dxa"/>
              <w:start w:w="100" w:type="dxa"/>
              <w:bottom w:w="100" w:type="dxa"/>
              <w:end w:w="100" w:type="dxa"/>
            </w:tcMar>
            <w:vAlign w:val="center"/>
            <w:shd w:fill="FCFCFC"/>
          </w:tcPr>
          <w:p>
            <w:pPr>
              <w:pStyle w:val="Small"/>
              <w:jc w:val="left"/>
            </w:pPr>
            <w:r>
              <w:rPr>
                <w:b w:val="0"/>
                <w:sz w:val="17"/>
              </w:rPr>
              <w:t>Definir la puerta antes del signo. Después indicar posición, grado y contexto sin anticipar todos los estados.</w:t>
            </w:r>
          </w:p>
        </w:tc>
      </w:tr>
      <w:tr>
        <w:trPr>
          <w:cantSplit/>
        </w:trPr>
        <w:tc>
          <w:tcPr>
            <w:tcW w:type="dxa" w:w="1984"/>
            <w:tcMar>
              <w:top w:w="100" w:type="dxa"/>
              <w:start w:w="100" w:type="dxa"/>
              <w:bottom w:w="100" w:type="dxa"/>
              <w:end w:w="100" w:type="dxa"/>
            </w:tcMar>
            <w:vAlign w:val="center"/>
          </w:tcPr>
          <w:p>
            <w:pPr>
              <w:pStyle w:val="Small"/>
              <w:jc w:val="left"/>
            </w:pPr>
            <w:r>
              <w:rPr>
                <w:b/>
                <w:sz w:val="17"/>
              </w:rPr>
              <w:t>Qué necesita el signo</w:t>
            </w:r>
          </w:p>
        </w:tc>
        <w:tc>
          <w:tcPr>
            <w:tcW w:type="dxa" w:w="2324"/>
            <w:tcMar>
              <w:top w:w="100" w:type="dxa"/>
              <w:start w:w="100" w:type="dxa"/>
              <w:bottom w:w="100" w:type="dxa"/>
              <w:end w:w="100" w:type="dxa"/>
            </w:tcMar>
            <w:vAlign w:val="center"/>
          </w:tcPr>
          <w:p>
            <w:pPr>
              <w:pStyle w:val="Small"/>
              <w:jc w:val="left"/>
            </w:pPr>
            <w:r>
              <w:rPr>
                <w:b w:val="0"/>
                <w:sz w:val="17"/>
              </w:rPr>
              <w:t>Mínimo 4 párrafos amplios</w:t>
            </w:r>
          </w:p>
        </w:tc>
        <w:tc>
          <w:tcPr>
            <w:tcW w:type="dxa" w:w="4535"/>
            <w:tcMar>
              <w:top w:w="100" w:type="dxa"/>
              <w:start w:w="100" w:type="dxa"/>
              <w:bottom w:w="100" w:type="dxa"/>
              <w:end w:w="100" w:type="dxa"/>
            </w:tcMar>
            <w:vAlign w:val="center"/>
          </w:tcPr>
          <w:p>
            <w:pPr>
              <w:pStyle w:val="Small"/>
              <w:jc w:val="left"/>
            </w:pPr>
            <w:r>
              <w:rPr>
                <w:b w:val="0"/>
                <w:sz w:val="17"/>
              </w:rPr>
              <w:t>Motivaciones, forma de expresarse, elemento/modalidad traducidos y una distinción que evite el estereotipo. Cerrar con necesidades por puntos.</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Eje I–VII desde la casa VII</w:t>
            </w:r>
          </w:p>
        </w:tc>
        <w:tc>
          <w:tcPr>
            <w:tcW w:type="dxa" w:w="2324"/>
            <w:tcMar>
              <w:top w:w="100" w:type="dxa"/>
              <w:start w:w="100" w:type="dxa"/>
              <w:bottom w:w="100" w:type="dxa"/>
              <w:end w:w="100" w:type="dxa"/>
            </w:tcMar>
            <w:vAlign w:val="center"/>
            <w:shd w:fill="FCFCFC"/>
          </w:tcPr>
          <w:p>
            <w:pPr>
              <w:pStyle w:val="Small"/>
              <w:jc w:val="left"/>
            </w:pPr>
            <w:r>
              <w:rPr>
                <w:b w:val="0"/>
                <w:sz w:val="17"/>
              </w:rPr>
              <w:t>Mínimo 6 párrafos</w:t>
            </w:r>
          </w:p>
        </w:tc>
        <w:tc>
          <w:tcPr>
            <w:tcW w:type="dxa" w:w="4535"/>
            <w:tcMar>
              <w:top w:w="100" w:type="dxa"/>
              <w:start w:w="100" w:type="dxa"/>
              <w:bottom w:w="100" w:type="dxa"/>
              <w:end w:w="100" w:type="dxa"/>
            </w:tcMar>
            <w:vAlign w:val="center"/>
            <w:shd w:fill="FCFCFC"/>
          </w:tcPr>
          <w:p>
            <w:pPr>
              <w:pStyle w:val="Small"/>
              <w:jc w:val="left"/>
            </w:pPr>
            <w:r>
              <w:rPr>
                <w:b w:val="0"/>
                <w:sz w:val="17"/>
              </w:rPr>
              <w:t>Explorar dimensiones distintas del territorio de experiencia. Cerrar con pautas propias de ese ámbito.</w:t>
            </w:r>
          </w:p>
        </w:tc>
      </w:tr>
      <w:tr>
        <w:trPr>
          <w:cantSplit/>
        </w:trPr>
        <w:tc>
          <w:tcPr>
            <w:tcW w:type="dxa" w:w="1984"/>
            <w:tcMar>
              <w:top w:w="100" w:type="dxa"/>
              <w:start w:w="100" w:type="dxa"/>
              <w:bottom w:w="100" w:type="dxa"/>
              <w:end w:w="100" w:type="dxa"/>
            </w:tcMar>
            <w:vAlign w:val="center"/>
          </w:tcPr>
          <w:p>
            <w:pPr>
              <w:pStyle w:val="Small"/>
              <w:jc w:val="left"/>
            </w:pPr>
            <w:r>
              <w:rPr>
                <w:b/>
                <w:sz w:val="17"/>
              </w:rPr>
              <w:t>Regente y su posición</w:t>
            </w:r>
          </w:p>
        </w:tc>
        <w:tc>
          <w:tcPr>
            <w:tcW w:type="dxa" w:w="2324"/>
            <w:tcMar>
              <w:top w:w="100" w:type="dxa"/>
              <w:start w:w="100" w:type="dxa"/>
              <w:bottom w:w="100" w:type="dxa"/>
              <w:end w:w="100" w:type="dxa"/>
            </w:tcMar>
            <w:vAlign w:val="center"/>
          </w:tcPr>
          <w:p>
            <w:pPr>
              <w:pStyle w:val="Small"/>
              <w:jc w:val="left"/>
            </w:pPr>
            <w:r>
              <w:rPr>
                <w:b w:val="0"/>
                <w:sz w:val="17"/>
              </w:rPr>
              <w:t>Mínimo 6 párrafos</w:t>
            </w:r>
          </w:p>
        </w:tc>
        <w:tc>
          <w:tcPr>
            <w:tcW w:type="dxa" w:w="4535"/>
            <w:tcMar>
              <w:top w:w="100" w:type="dxa"/>
              <w:start w:w="100" w:type="dxa"/>
              <w:bottom w:w="100" w:type="dxa"/>
              <w:end w:w="100" w:type="dxa"/>
            </w:tcMar>
            <w:vAlign w:val="center"/>
          </w:tcPr>
          <w:p>
            <w:pPr>
              <w:pStyle w:val="Small"/>
              <w:jc w:val="left"/>
            </w:pPr>
            <w:r>
              <w:rPr>
                <w:b w:val="0"/>
                <w:sz w:val="17"/>
              </w:rPr>
              <w:t>Explicar qué añade el regente a ESTA puerta. Si ya apareció antes, no repetir su lectura anterior; cambiar la pregunta funcional.</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Integración</w:t>
            </w:r>
          </w:p>
        </w:tc>
        <w:tc>
          <w:tcPr>
            <w:tcW w:type="dxa" w:w="2324"/>
            <w:tcMar>
              <w:top w:w="100" w:type="dxa"/>
              <w:start w:w="100" w:type="dxa"/>
              <w:bottom w:w="100" w:type="dxa"/>
              <w:end w:w="100" w:type="dxa"/>
            </w:tcMar>
            <w:vAlign w:val="center"/>
            <w:shd w:fill="FCFCFC"/>
          </w:tcPr>
          <w:p>
            <w:pPr>
              <w:pStyle w:val="Small"/>
              <w:jc w:val="left"/>
            </w:pPr>
            <w:r>
              <w:rPr>
                <w:b w:val="0"/>
                <w:sz w:val="17"/>
              </w:rPr>
              <w:t>4 párrafos</w:t>
            </w:r>
          </w:p>
        </w:tc>
        <w:tc>
          <w:tcPr>
            <w:tcW w:type="dxa" w:w="4535"/>
            <w:tcMar>
              <w:top w:w="100" w:type="dxa"/>
              <w:start w:w="100" w:type="dxa"/>
              <w:bottom w:w="100" w:type="dxa"/>
              <w:end w:w="100" w:type="dxa"/>
            </w:tcMar>
            <w:vAlign w:val="center"/>
            <w:shd w:fill="FCFCFC"/>
          </w:tcPr>
          <w:p>
            <w:pPr>
              <w:pStyle w:val="Small"/>
              <w:jc w:val="left"/>
            </w:pPr>
            <w:r>
              <w:rPr>
                <w:b w:val="0"/>
                <w:sz w:val="17"/>
              </w:rPr>
              <w:t>Desarrollar procesos y consecuencias que solo aparecen al reunir signo, casa/eje y regente. Cerrar con pautas.</w:t>
            </w:r>
          </w:p>
        </w:tc>
      </w:tr>
      <w:tr>
        <w:trPr>
          <w:cantSplit/>
        </w:trPr>
        <w:tc>
          <w:tcPr>
            <w:tcW w:type="dxa" w:w="1984"/>
            <w:tcMar>
              <w:top w:w="100" w:type="dxa"/>
              <w:start w:w="100" w:type="dxa"/>
              <w:bottom w:w="100" w:type="dxa"/>
              <w:end w:w="100" w:type="dxa"/>
            </w:tcMar>
            <w:vAlign w:val="center"/>
          </w:tcPr>
          <w:p>
            <w:pPr>
              <w:pStyle w:val="Small"/>
              <w:jc w:val="left"/>
            </w:pPr>
            <w:r>
              <w:rPr>
                <w:b/>
                <w:sz w:val="17"/>
              </w:rPr>
              <w:t>Expresión armónica</w:t>
            </w:r>
          </w:p>
        </w:tc>
        <w:tc>
          <w:tcPr>
            <w:tcW w:type="dxa" w:w="2324"/>
            <w:tcMar>
              <w:top w:w="100" w:type="dxa"/>
              <w:start w:w="100" w:type="dxa"/>
              <w:bottom w:w="100" w:type="dxa"/>
              <w:end w:w="100" w:type="dxa"/>
            </w:tcMar>
            <w:vAlign w:val="center"/>
          </w:tcPr>
          <w:p>
            <w:pPr>
              <w:pStyle w:val="Small"/>
              <w:jc w:val="left"/>
            </w:pPr>
            <w:r>
              <w:rPr>
                <w:b w:val="0"/>
                <w:sz w:val="17"/>
              </w:rPr>
              <w:t>4 párrafos + correspondencia completa</w:t>
            </w:r>
          </w:p>
        </w:tc>
        <w:tc>
          <w:tcPr>
            <w:tcW w:type="dxa" w:w="4535"/>
            <w:tcMar>
              <w:top w:w="100" w:type="dxa"/>
              <w:start w:w="100" w:type="dxa"/>
              <w:bottom w:w="100" w:type="dxa"/>
              <w:end w:w="100" w:type="dxa"/>
            </w:tcMar>
            <w:vAlign w:val="center"/>
          </w:tcPr>
          <w:p>
            <w:pPr>
              <w:pStyle w:val="Small"/>
              <w:jc w:val="left"/>
            </w:pPr>
            <w:r>
              <w:rPr>
                <w:b w:val="0"/>
                <w:sz w:val="17"/>
              </w:rPr>
              <w:t>Después del desarrollo: características, una pauta por característica y un ejemplo enumerado por pauta, en el mismo orden.</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Desarmonía por defecto</w:t>
            </w:r>
          </w:p>
        </w:tc>
        <w:tc>
          <w:tcPr>
            <w:tcW w:type="dxa" w:w="2324"/>
            <w:tcMar>
              <w:top w:w="100" w:type="dxa"/>
              <w:start w:w="100" w:type="dxa"/>
              <w:bottom w:w="100" w:type="dxa"/>
              <w:end w:w="100" w:type="dxa"/>
            </w:tcMar>
            <w:vAlign w:val="center"/>
            <w:shd w:fill="FCFCFC"/>
          </w:tcPr>
          <w:p>
            <w:pPr>
              <w:pStyle w:val="Small"/>
              <w:jc w:val="left"/>
            </w:pPr>
            <w:r>
              <w:rPr>
                <w:b w:val="0"/>
                <w:sz w:val="17"/>
              </w:rPr>
              <w:t>4 párrafos + correspondencia completa</w:t>
            </w:r>
          </w:p>
        </w:tc>
        <w:tc>
          <w:tcPr>
            <w:tcW w:type="dxa" w:w="4535"/>
            <w:tcMar>
              <w:top w:w="100" w:type="dxa"/>
              <w:start w:w="100" w:type="dxa"/>
              <w:bottom w:w="100" w:type="dxa"/>
              <w:end w:w="100" w:type="dxa"/>
            </w:tcMar>
            <w:vAlign w:val="center"/>
            <w:shd w:fill="FCFCFC"/>
          </w:tcPr>
          <w:p>
            <w:pPr>
              <w:pStyle w:val="Small"/>
              <w:jc w:val="left"/>
            </w:pPr>
            <w:r>
              <w:rPr>
                <w:b w:val="0"/>
                <w:sz w:val="17"/>
              </w:rPr>
              <w:t>Explicar cómo una capacidad queda con poco espacio, cómo se mantiene y qué coste aparece. Después característica → pauta → ejemplo.</w:t>
            </w:r>
          </w:p>
        </w:tc>
      </w:tr>
      <w:tr>
        <w:trPr>
          <w:cantSplit/>
        </w:trPr>
        <w:tc>
          <w:tcPr>
            <w:tcW w:type="dxa" w:w="1984"/>
            <w:tcMar>
              <w:top w:w="100" w:type="dxa"/>
              <w:start w:w="100" w:type="dxa"/>
              <w:bottom w:w="100" w:type="dxa"/>
              <w:end w:w="100" w:type="dxa"/>
            </w:tcMar>
            <w:vAlign w:val="center"/>
          </w:tcPr>
          <w:p>
            <w:pPr>
              <w:pStyle w:val="Small"/>
              <w:jc w:val="left"/>
            </w:pPr>
            <w:r>
              <w:rPr>
                <w:b/>
                <w:sz w:val="17"/>
              </w:rPr>
              <w:t>Desarmonía por exceso</w:t>
            </w:r>
          </w:p>
        </w:tc>
        <w:tc>
          <w:tcPr>
            <w:tcW w:type="dxa" w:w="2324"/>
            <w:tcMar>
              <w:top w:w="100" w:type="dxa"/>
              <w:start w:w="100" w:type="dxa"/>
              <w:bottom w:w="100" w:type="dxa"/>
              <w:end w:w="100" w:type="dxa"/>
            </w:tcMar>
            <w:vAlign w:val="center"/>
          </w:tcPr>
          <w:p>
            <w:pPr>
              <w:pStyle w:val="Small"/>
              <w:jc w:val="left"/>
            </w:pPr>
            <w:r>
              <w:rPr>
                <w:b w:val="0"/>
                <w:sz w:val="17"/>
              </w:rPr>
              <w:t>4 párrafos + correspondencia completa</w:t>
            </w:r>
          </w:p>
        </w:tc>
        <w:tc>
          <w:tcPr>
            <w:tcW w:type="dxa" w:w="4535"/>
            <w:tcMar>
              <w:top w:w="100" w:type="dxa"/>
              <w:start w:w="100" w:type="dxa"/>
              <w:bottom w:w="100" w:type="dxa"/>
              <w:end w:w="100" w:type="dxa"/>
            </w:tcMar>
            <w:vAlign w:val="center"/>
          </w:tcPr>
          <w:p>
            <w:pPr>
              <w:pStyle w:val="Small"/>
              <w:jc w:val="left"/>
            </w:pPr>
            <w:r>
              <w:rPr>
                <w:b w:val="0"/>
                <w:sz w:val="17"/>
              </w:rPr>
              <w:t>Explicar cómo un recurso útil se vuelve difícil de detener, qué intenta conseguir y qué efectos tiene. Después característica → pauta → ejemplo.</w:t>
            </w:r>
          </w:p>
        </w:tc>
      </w:tr>
      <w:tr>
        <w:trPr>
          <w:cantSplit/>
        </w:trPr>
        <w:tc>
          <w:tcPr>
            <w:tcW w:type="dxa" w:w="1984"/>
            <w:tcMar>
              <w:top w:w="100" w:type="dxa"/>
              <w:start w:w="100" w:type="dxa"/>
              <w:bottom w:w="100" w:type="dxa"/>
              <w:end w:w="100" w:type="dxa"/>
            </w:tcMar>
            <w:vAlign w:val="center"/>
            <w:shd w:fill="FCFCFC"/>
          </w:tcPr>
          <w:p>
            <w:pPr>
              <w:pStyle w:val="Small"/>
              <w:jc w:val="left"/>
            </w:pPr>
            <w:r>
              <w:rPr>
                <w:b/>
                <w:sz w:val="17"/>
              </w:rPr>
              <w:t>Armonización e integración final</w:t>
            </w:r>
          </w:p>
        </w:tc>
        <w:tc>
          <w:tcPr>
            <w:tcW w:type="dxa" w:w="2324"/>
            <w:tcMar>
              <w:top w:w="100" w:type="dxa"/>
              <w:start w:w="100" w:type="dxa"/>
              <w:bottom w:w="100" w:type="dxa"/>
              <w:end w:w="100" w:type="dxa"/>
            </w:tcMar>
            <w:vAlign w:val="center"/>
            <w:shd w:fill="FCFCFC"/>
          </w:tcPr>
          <w:p>
            <w:pPr>
              <w:pStyle w:val="Small"/>
              <w:jc w:val="left"/>
            </w:pPr>
            <w:r>
              <w:rPr>
                <w:b w:val="0"/>
                <w:sz w:val="17"/>
              </w:rPr>
              <w:t>Desarrollo equivalente al Sol revisado</w:t>
            </w:r>
          </w:p>
        </w:tc>
        <w:tc>
          <w:tcPr>
            <w:tcW w:type="dxa" w:w="4535"/>
            <w:tcMar>
              <w:top w:w="100" w:type="dxa"/>
              <w:start w:w="100" w:type="dxa"/>
              <w:bottom w:w="100" w:type="dxa"/>
              <w:end w:w="100" w:type="dxa"/>
            </w:tcMar>
            <w:vAlign w:val="center"/>
            <w:shd w:fill="FCFCFC"/>
          </w:tcPr>
          <w:p>
            <w:pPr>
              <w:pStyle w:val="Small"/>
              <w:jc w:val="left"/>
            </w:pPr>
            <w:r>
              <w:rPr>
                <w:b w:val="0"/>
                <w:sz w:val="17"/>
              </w:rPr>
              <w:t>Dos recorridos diferenciados (defecto/exceso), punto de equilibrio, referencias, autoobservación y frases de integración con explicación.</w:t>
            </w:r>
          </w:p>
        </w:tc>
      </w:tr>
    </w:tbl>
    <w:p/>
    <w:p>
      <w:pPr>
        <w:pStyle w:val="Heading1"/>
      </w:pPr>
      <w:r>
        <w:t>5. Desarrollo de cada bloque del Descendente</w:t>
      </w:r>
    </w:p>
    <w:p>
      <w:pPr>
        <w:pStyle w:val="Heading2"/>
      </w:pPr>
      <w:r>
        <w:t>Función y posición</w:t>
      </w:r>
    </w:p>
    <w:p>
      <w:pPr>
        <w:pStyle w:val="BulletCompact"/>
      </w:pPr>
      <w:r>
        <w:t>Primer párrafo: define el Descendente como punto opuesto al Ascendente y cúspide de casa VII. Explica que simboliza el encuentro de igual a igual y el aprendizaje que aparece al compartir decisiones.</w:t>
      </w:r>
    </w:p>
    <w:p>
      <w:pPr>
        <w:pStyle w:val="BulletCompact"/>
      </w:pPr>
      <w:r>
        <w:t>Segundo párrafo: desarrolla qué puede observarse en un vínculo: expectativas, confianza, reciprocidad, deseos, límites, responsabilidades y capacidad de negociar sin desaparecer ni decidir por el otro.</w:t>
      </w:r>
    </w:p>
    <w:p>
      <w:pPr>
        <w:pStyle w:val="BulletCompact"/>
      </w:pPr>
      <w:r>
        <w:t>Tercer párrafo: diferencia su función de las otras puertas. El Descendente no pregunta primero qué quieres (Sol), qué necesitas emocionalmente (Luna) o cómo empiezas (Ascendente), sino qué ocurre cuando todo eso debe convivir con la posición de otra persona.</w:t>
      </w:r>
    </w:p>
    <w:p>
      <w:pPr>
        <w:pStyle w:val="BulletCompact"/>
      </w:pPr>
      <w:r>
        <w:t>Después presenta signo, grado y contexto. No anticipes todavía los desequilibrios ni describas a «los otros» como si el signo determinara quiénes serán.</w:t>
      </w:r>
    </w:p>
    <w:p>
      <w:pPr>
        <w:pStyle w:val="Heading2"/>
      </w:pPr>
      <w:r>
        <w:t>Qué necesita el signo del Descendente</w:t>
      </w:r>
    </w:p>
    <w:p>
      <w:pPr>
        <w:pStyle w:val="BulletCompact"/>
      </w:pPr>
      <w:r>
        <w:t>Interpreta el signo en clave relacional: qué condiciones favorecen confianza, intercambio y compromiso; qué valora en la manera de compartir; qué necesita poder hablar o preservar para que el vínculo no pierda igualdad.</w:t>
      </w:r>
    </w:p>
    <w:p>
      <w:pPr>
        <w:pStyle w:val="BulletCompact"/>
      </w:pPr>
      <w:r>
        <w:t>Traduce elemento y modalidad a la experiencia entre dos. Explica cómo afectan a la forma de profundizar, sostener, iniciar, revisar o adaptarse dentro de un acuerdo.</w:t>
      </w:r>
    </w:p>
    <w:p>
      <w:pPr>
        <w:pStyle w:val="BulletCompact"/>
      </w:pPr>
      <w:r>
        <w:t>Incluye una distinción que evite un estereotipo. Ejemplo de criterio: profundidad no equivale a invasión; compromiso no equivale a permanencia ilimitada; libertad no equivale a ausencia de responsabilidad; armonía no equivale a evitar desacuerdo.</w:t>
      </w:r>
    </w:p>
    <w:p>
      <w:pPr>
        <w:pStyle w:val="BulletCompact"/>
      </w:pPr>
      <w:r>
        <w:t>Cierra con necesidades por puntos que después puedan rastrearse en casa VII, regentes e integración.</w:t>
      </w:r>
    </w:p>
    <w:p>
      <w:pPr>
        <w:pStyle w:val="Heading2"/>
      </w:pPr>
      <w:r>
        <w:t>Eje Ascendente–Descendente desde la casa VII</w:t>
      </w:r>
    </w:p>
    <w:p>
      <w:pPr>
        <w:pStyle w:val="BulletCompact"/>
      </w:pPr>
      <w:r>
        <w:t>Desarrolla al menos seis párrafos centrados en casa VII: encuentro entre iguales, negociación, reciprocidad, distribución de responsabilidad, revisión de acuerdos, consentimiento, autonomía y aprendizaje de la diferencia.</w:t>
      </w:r>
    </w:p>
    <w:p>
      <w:pPr>
        <w:pStyle w:val="BulletCompact"/>
      </w:pPr>
      <w:r>
        <w:t>La casa I aparece como referencia de base propia: no se reexplica. Su función es recordar que el vínculo se construye entre dos personas que conservan recursos, criterios y derecho a decidir.</w:t>
      </w:r>
    </w:p>
    <w:p>
      <w:pPr>
        <w:pStyle w:val="BulletCompact"/>
      </w:pPr>
      <w:r>
        <w:t>Explica que observar qué activa un vínculo no hace a la persona responsable de la conducta ajena. Esta precisión evita convertir la astrología relacional en culpabilización o teoría de «espejos» aplicada de forma absoluta.</w:t>
      </w:r>
    </w:p>
    <w:p>
      <w:pPr>
        <w:pStyle w:val="BulletCompact"/>
      </w:pPr>
      <w:r>
        <w:t>Distingue deseo, petición, acuerdo y norma. Desear algo no obliga al otro; pedir permite respuesta; acordar crea una responsabilidad compartida; una norma necesita haber sido realmente aceptada.</w:t>
      </w:r>
    </w:p>
    <w:p>
      <w:pPr>
        <w:pStyle w:val="BulletCompact"/>
      </w:pPr>
      <w:r>
        <w:t>Incluye cambios a lo largo del tiempo: un acuerdo razonable puede necesitar revisión si cambian circunstancias, recursos o prioridades. La revisión no invalida automáticamente el compromiso.</w:t>
      </w:r>
    </w:p>
    <w:p>
      <w:pPr>
        <w:pStyle w:val="BulletCompact"/>
      </w:pPr>
      <w:r>
        <w:t>Cierra con pautas específicas de relación: aclarar expectativas, preguntar, verificar hechos, conservar actividades propias, revisar acuerdos y respetar límites de privacidad.</w:t>
      </w:r>
    </w:p>
    <w:p>
      <w:pPr>
        <w:pStyle w:val="Heading2"/>
      </w:pPr>
      <w:r>
        <w:t>Regente o regentes y su posición</w:t>
      </w:r>
    </w:p>
    <w:p>
      <w:pPr>
        <w:pStyle w:val="BulletCompact"/>
      </w:pPr>
      <w:r>
        <w:t>Explica qué es un regente y por qué matiza el Descendente. La pregunta es qué vía utiliza esta forma de vincularse para actuar, sostener, reparar, decidir o revisar un compromiso.</w:t>
      </w:r>
    </w:p>
    <w:p>
      <w:pPr>
        <w:pStyle w:val="BulletCompact"/>
      </w:pPr>
      <w:r>
        <w:t>Si el signo tiene regencia tradicional y moderna, distingue claramente ambas antes de integrarlas. No presentes una como sustituta de la otra ni abras cadenas de regencias.</w:t>
      </w:r>
    </w:p>
    <w:p>
      <w:pPr>
        <w:pStyle w:val="BulletCompact"/>
      </w:pPr>
      <w:r>
        <w:t>Con dos regentes, recomienda 8–10 párrafos en total: 1 introducción común; 3 sobre el regente tradicional (planeta, signo, casa y función relacional); 3 sobre el moderno; 1–2 de relación entre ambos y sus implicaciones en la casa VII. El mínimo de seis párrafos sigue siendo obligatorio.</w:t>
      </w:r>
    </w:p>
    <w:p>
      <w:pPr>
        <w:pStyle w:val="BulletCompact"/>
      </w:pPr>
      <w:r>
        <w:t>El regente tradicional suele ayudar a describir una vía más directa de acción/gestión; el moderno puede añadir una capa simbólica generacional o de transformación, según corresponda. Si el planeta moderno permanece muchos años en un signo, señala esa dimensión generacional y evita usarla como rasgo individual absoluto.</w:t>
      </w:r>
    </w:p>
    <w:p>
      <w:pPr>
        <w:pStyle w:val="BulletCompact"/>
      </w:pPr>
      <w:r>
        <w:t>La casa del regente debe añadir un terreno de aprendizaje relacional. Evita convertirla en una explicación aislada de esa casa: muestra cómo modifica acuerdos, confianza, participación o autonomía.</w:t>
      </w:r>
    </w:p>
    <w:p>
      <w:pPr>
        <w:pStyle w:val="Heading2"/>
      </w:pPr>
      <w:r>
        <w:t>Integración de signo, eje y regentes</w:t>
      </w:r>
    </w:p>
    <w:p>
      <w:pPr>
        <w:pStyle w:val="BulletCompact"/>
      </w:pPr>
      <w:r>
        <w:t>Desarrolla cuatro párrafos que expliquen qué aparece al reunir las piezas. No uses un párrafo por planeta como resumen; construye consecuencias de la combinación.</w:t>
      </w:r>
    </w:p>
    <w:p>
      <w:pPr>
        <w:pStyle w:val="BulletCompact"/>
      </w:pPr>
      <w:r>
        <w:t>Incluye al menos un proceso de confianza: qué hechos se observan, qué se pregunta, qué se acuerda, qué se revisa y qué queda fuera del control propio.</w:t>
      </w:r>
    </w:p>
    <w:p>
      <w:pPr>
        <w:pStyle w:val="BulletCompact"/>
      </w:pPr>
      <w:r>
        <w:t>Incluye al menos un proceso de autonomía: qué puede compartirse, qué necesita consentimiento y qué recurso propio debe permanecer activo para que el vínculo siga siendo elegido.</w:t>
      </w:r>
    </w:p>
    <w:p>
      <w:pPr>
        <w:pStyle w:val="BulletCompact"/>
      </w:pPr>
      <w:r>
        <w:t>Cierra con pautas de observación que puedan aplicarse a pareja, amistad, asociación o colaboración, sin asumir un tipo concreto de relación.</w:t>
      </w:r>
    </w:p>
    <w:p>
      <w:pPr>
        <w:pStyle w:val="Heading2"/>
      </w:pPr>
      <w:r>
        <w:t>Expresión armónica</w:t>
      </w:r>
    </w:p>
    <w:p>
      <w:pPr>
        <w:pStyle w:val="BulletCompact"/>
      </w:pPr>
      <w:r>
        <w:t>Los cuatro párrafos deben mostrar cómo se vive un vínculo equilibrado: claridad, capacidad de pedir, escucha de diferencias, acuerdos revisables, intimidad con consentimiento y posibilidad de seguir con la propia vida.</w:t>
      </w:r>
    </w:p>
    <w:p>
      <w:pPr>
        <w:pStyle w:val="BulletCompact"/>
      </w:pPr>
      <w:r>
        <w:t>La armonía no exige ausencia de conflicto. Puede existir decepción, desacuerdo o necesidad de renegociar y seguir habiendo equilibrio si las dos personas conservan voz y los hechos pueden hablarse.</w:t>
      </w:r>
    </w:p>
    <w:p>
      <w:pPr>
        <w:pStyle w:val="BulletCompact"/>
      </w:pPr>
      <w:r>
        <w:t>Describe qué ocurre después de una conversación: se conoce mejor el acuerdo, cada persona sabe su parte y queda espacio para observar la experiencia sin comprobar constantemente el vínculo.</w:t>
      </w:r>
    </w:p>
    <w:p>
      <w:pPr>
        <w:pStyle w:val="BulletCompact"/>
      </w:pPr>
      <w:r>
        <w:t>Después conserva las características previstas y desarrolla una pauta y un ejemplo por cada una.</w:t>
      </w:r>
    </w:p>
    <w:p>
      <w:pPr>
        <w:pStyle w:val="Heading2"/>
      </w:pPr>
      <w:r>
        <w:t>Desarmonía por defecto</w:t>
      </w:r>
    </w:p>
    <w:p>
      <w:pPr>
        <w:pStyle w:val="BulletCompact"/>
      </w:pPr>
      <w:r>
        <w:t>Explica qué recurso relacional tiene poco espacio: expresar deseo, preguntar, poner un límite, revisar un acuerdo, discriminar hechos actuales, conservar convicciones propias o abrir una conversación que podría cambiar la perspectiva.</w:t>
      </w:r>
    </w:p>
    <w:p>
      <w:pPr>
        <w:pStyle w:val="BulletCompact"/>
      </w:pPr>
      <w:r>
        <w:t>Distingue privacidad elegida de cierre automático. No compartirlo todo puede ser sano; el defecto aparece cuando la persona desea contacto o claridad y no consigue poner en juego el recurso necesario.</w:t>
      </w:r>
    </w:p>
    <w:p>
      <w:pPr>
        <w:pStyle w:val="BulletCompact"/>
      </w:pPr>
      <w:r>
        <w:t>Explica cómo la falta de voz o revisión puede dejar al vínculo funcionando por supuestos, autoridad delegada o interpretaciones sin contrastar.</w:t>
      </w:r>
    </w:p>
    <w:p>
      <w:pPr>
        <w:pStyle w:val="BulletCompact"/>
      </w:pPr>
      <w:r>
        <w:t>Mantén las siete características ya definidas en el dossier y desarrolla cada una con pauta y ejemplo en el mismo orden.</w:t>
      </w:r>
    </w:p>
    <w:p>
      <w:pPr>
        <w:pStyle w:val="Heading2"/>
      </w:pPr>
      <w:r>
        <w:t>Desarmonía por exceso</w:t>
      </w:r>
    </w:p>
    <w:p>
      <w:pPr>
        <w:pStyle w:val="BulletCompact"/>
      </w:pPr>
      <w:r>
        <w:t>Explica cómo recursos relacionales válidos se vuelven invasivos o rígidos: comprobar lealtad, convertir un criterio propio en norma, organizar el proceso ajeno, buscar explicaciones definitivas o subordinar toda la vida al estado del vínculo.</w:t>
      </w:r>
    </w:p>
    <w:p>
      <w:pPr>
        <w:pStyle w:val="BulletCompact"/>
      </w:pPr>
      <w:r>
        <w:t>Aclara qué intenta garantizar el exceso: certeza, permanencia, coherencia, seguridad o control de la ambigüedad. Mostrar esa intención evita moralizar el comportamiento.</w:t>
      </w:r>
    </w:p>
    <w:p>
      <w:pPr>
        <w:pStyle w:val="BulletCompact"/>
      </w:pPr>
      <w:r>
        <w:t>Distingue compromiso de resistencia ilimitada, profundidad de invasión y atención a patrones de acumulación indiscriminada de agravios. El exceso ocurre cuando el recurso deja poco espacio al consentimiento, la diferencia o la autonomía.</w:t>
      </w:r>
    </w:p>
    <w:p>
      <w:pPr>
        <w:pStyle w:val="BulletCompact"/>
      </w:pPr>
      <w:r>
        <w:t>Mantén las siete características actuales y desarrolla cada una con pauta y ejemplo propios. Evita que todos los ejemplos sean de pareja o tareas domésticas.</w:t>
      </w:r>
    </w:p>
    <w:p>
      <w:pPr>
        <w:pStyle w:val="Heading2"/>
      </w:pPr>
      <w:r>
        <w:t>Descendente: armonización e integración final</w:t>
      </w:r>
    </w:p>
    <w:p>
      <w:r>
        <w:rPr>
          <w:b/>
        </w:rPr>
        <w:t xml:space="preserve">Desde el defecto. </w:t>
      </w:r>
      <w:r>
        <w:t>Desarrolla al menos dos párrafos: primero qué capacidad necesita recuperar espacio; después cómo practicarla de forma gradual sin convertir el ejercicio en una obligación. Cierra con 3 puntos concretos y accionables.</w:t>
      </w:r>
    </w:p>
    <w:p>
      <w:r>
        <w:rPr>
          <w:b/>
        </w:rPr>
        <w:t xml:space="preserve">Desde el exceso. </w:t>
      </w:r>
      <w:r>
        <w:t>Desarrolla al menos dos párrafos: primero qué recurso necesita recuperar medida; después qué sucede cuando la persona detiene, delimita o redistribuye ese recurso. Cierra con 3 puntos concretos diferentes de los usados para el defecto.</w:t>
      </w:r>
    </w:p>
    <w:p>
      <w:r>
        <w:rPr>
          <w:b/>
        </w:rPr>
        <w:t xml:space="preserve">El punto de equilibrio. </w:t>
      </w:r>
      <w:r>
        <w:t>Redacta al menos dos párrafos que integren la puerta completa sin repetir la introducción. Debe quedar claro qué significa usar esa función con flexibilidad y qué puede seguir siendo incómodo sin dejar de ser equilibrado. Cierra con 4 referencias breves para reconocer el equilibrio.</w:t>
      </w:r>
    </w:p>
    <w:p>
      <w:r>
        <w:rPr>
          <w:b/>
        </w:rPr>
        <w:t xml:space="preserve">Preguntas de autoobservación. </w:t>
      </w:r>
      <w:r>
        <w:t>Antes de las preguntas, incluye uno o dos párrafos que expliquen cómo utilizarlas sobre una escena concreta. Formula 5 preguntas que recorran intención/necesidad, hechos, comunicación, medida y siguiente paso.</w:t>
      </w:r>
    </w:p>
    <w:p>
      <w:r>
        <w:rPr>
          <w:b/>
        </w:rPr>
        <w:t xml:space="preserve">Frases de integración. </w:t>
      </w:r>
      <w:r>
        <w:t>No dejar una única frase aislada. Explica brevemente para qué sirve la frase central y cómo usar las frases de apoyo. Incluye: 1 frase central + 4 frases de apoyo («para empezar», «para recuperar medida», «para revisar» y «para reunir lo aprendido»), adaptadas a la puerta.</w:t>
      </w:r>
    </w:p>
    <w:p>
      <w:pPr>
        <w:pStyle w:val="Heading1"/>
      </w:pPr>
      <w:r>
        <w:t>6. Regla especial para los ejemplos relacionales</w:t>
      </w:r>
    </w:p>
    <w:p>
      <w:pPr>
        <w:pStyle w:val="BulletCompact"/>
      </w:pPr>
      <w:r>
        <w:t>Distribuye los contextos: pareja, amistad, asociación profesional, proyecto compartido, decisión económica no sensible, viaje, actividad de grupo, organización de un encuentro, aprendizaje conjunto o conversación importante.</w:t>
      </w:r>
    </w:p>
    <w:p>
      <w:pPr>
        <w:pStyle w:val="BulletCompact"/>
      </w:pPr>
      <w:r>
        <w:t>No conviertas cada ejemplo en «poner un límite» o «repartir tareas». Usa también situaciones de pedir claridad, recibir una diferencia, compartir información de forma gradual, respetar privacidad, revisar expectativas y permitir que el otro resuelva a su manera.</w:t>
      </w:r>
    </w:p>
    <w:p>
      <w:pPr>
        <w:pStyle w:val="BulletCompact"/>
      </w:pPr>
      <w:r>
        <w:t>No atribuyas intenciones a la otra persona. Describe hechos observables y, cuando exista interpretación, sepárala explícitamente: «ocurrió X» frente a «yo concluí Y».</w:t>
      </w:r>
    </w:p>
    <w:p>
      <w:pPr>
        <w:pStyle w:val="BulletCompact"/>
      </w:pPr>
      <w:r>
        <w:t>No uses la intensidad como sinónimo de autenticidad. Un vínculo puede ser profundo y tranquilo; una conversación puede ser importante sin ser dramática.</w:t>
      </w:r>
    </w:p>
    <w:p>
      <w:pPr>
        <w:pStyle w:val="BulletCompact"/>
      </w:pPr>
      <w:r>
        <w:t>Incluye siempre la autonomía de ambas partes. Una pauta no debe enseñar a conseguir una reacción concreta del otro, sino a comunicar, acordar, observar hechos y decidir qué puede sostener cada persona.</w:t>
      </w:r>
    </w:p>
    <w:p>
      <w:pPr>
        <w:pStyle w:val="Heading1"/>
      </w:pPr>
      <w:r>
        <w:t>7. Continuidad concreta con el dossier actual: Descendente</w:t>
      </w:r>
    </w:p>
    <w:p>
      <w:r>
        <w:t>El bloque actual funciona como boceto estructural, pero debe ampliarse hasta el estándar del Sol revisado. Mantén sus características ya definidas salvo que en una revisión posterior se acuerde expresamente cambiarlas.</w:t>
      </w:r>
    </w:p>
    <w:p>
      <w:pPr>
        <w:pStyle w:val="BulletCompact"/>
      </w:pPr>
      <w:r>
        <w:t>La función actual necesita ampliarse a tres párrafos comunes antes de Escorpio: encuentro de igual a igual, aprendizaje a través de la diferencia y distinción respecto a las otras puertas.</w:t>
      </w:r>
    </w:p>
    <w:p>
      <w:pPr>
        <w:pStyle w:val="BulletCompact"/>
      </w:pPr>
      <w:r>
        <w:t>Escorpio debe desarrollarse al menos en cuatro párrafos: profundidad, agua/fijo traducidos, intimidad con consentimiento, confianza basada en hechos y distinción entre compromiso/control.</w:t>
      </w:r>
    </w:p>
    <w:p>
      <w:pPr>
        <w:pStyle w:val="BulletCompact"/>
      </w:pPr>
      <w:r>
        <w:t>La casa VII y el eje necesitan seis párrafos desde la perspectiva relacional. Conserva la frase clave de que observar lo que se activa no hace responsable a la persona de la conducta ajena y amplía deseo/petición/acuerdo/norma, revisión de compromisos y autonomía.</w:t>
      </w:r>
    </w:p>
    <w:p>
      <w:pPr>
        <w:pStyle w:val="BulletCompact"/>
      </w:pPr>
      <w:r>
        <w:t>Los dos regentes actuales —Marte en Capricornio en casa IX y Plutón en Escorpio en casa VI— deben desarrollarse más. Diferencia sus aportaciones antes de integrarlas: dirección/acción/criterio y horizonte en Marte; patrones cotidianos, poder y revisión en Plutón. Mantén la precisión generacional de Plutón.</w:t>
      </w:r>
    </w:p>
    <w:p>
      <w:pPr>
        <w:pStyle w:val="BulletCompact"/>
      </w:pPr>
      <w:r>
        <w:t>La integración debe crecer a cuatro párrafos y mostrar procesos de confianza y negociación, no solo resumir «profundidad + dirección + hechos cotidianos».</w:t>
      </w:r>
    </w:p>
    <w:p>
      <w:pPr>
        <w:pStyle w:val="BulletCompact"/>
      </w:pPr>
      <w:r>
        <w:t>La armonía actual ofrece cinco características valiosas, pero necesita cuatro párrafos introductorios y cinco pautas con cinco ejemplos correspondientes. Los tres pasos actuales pueden quedar como síntesis adicional.</w:t>
      </w:r>
    </w:p>
    <w:p>
      <w:pPr>
        <w:pStyle w:val="BulletCompact"/>
      </w:pPr>
      <w:r>
        <w:t>Defecto y exceso ya contienen siete características con desarrollos claros. Conserva el orden y refuerza la introducción de cada estado para explicar cómo se instala el mecanismo antes de entrar en los siete puntos.</w:t>
      </w:r>
    </w:p>
    <w:p>
      <w:pPr>
        <w:pStyle w:val="BulletCompact"/>
      </w:pPr>
      <w:r>
        <w:t>La armonización final debe igualar el nivel del Sol: dos párrafos desde defecto, dos desde exceso, tres acciones por recorrido, punto de equilibrio desarrollado, referencias, autoobservación con introducción y frase central + cuatro frases de apoyo.</w:t>
      </w:r>
    </w:p>
    <w:p>
      <w:pPr>
        <w:pStyle w:val="Heading1"/>
      </w:pPr>
      <w:r>
        <w:t>8. Revisión obligatoria antes de entregar</w:t>
      </w:r>
    </w:p>
    <w:p>
      <w:pPr>
        <w:pStyle w:val="BulletCompact"/>
      </w:pPr>
      <w:r>
        <w:t>¿Cada apartado responde a su pregunta específica y no a la de otra puerta?</w:t>
      </w:r>
    </w:p>
    <w:p>
      <w:pPr>
        <w:pStyle w:val="BulletCompact"/>
      </w:pPr>
      <w:r>
        <w:t>¿Cada párrafo añade algo que no estaba explicado antes?</w:t>
      </w:r>
    </w:p>
    <w:p>
      <w:pPr>
        <w:pStyle w:val="BulletCompact"/>
      </w:pPr>
      <w:r>
        <w:t>¿Las transiciones muestran por qué se introduce la siguiente pieza?</w:t>
      </w:r>
    </w:p>
    <w:p>
      <w:pPr>
        <w:pStyle w:val="BulletCompact"/>
      </w:pPr>
      <w:r>
        <w:t>¿Los estados se desprenden de capacidades preparadas previamente en signo, casa/eje, regente o integración?</w:t>
      </w:r>
    </w:p>
    <w:p>
      <w:pPr>
        <w:pStyle w:val="BulletCompact"/>
      </w:pPr>
      <w:r>
        <w:t>¿Defecto y exceso se distinguen por funcionamiento y no solo por intensidad del vocabulario?</w:t>
      </w:r>
    </w:p>
    <w:p>
      <w:pPr>
        <w:pStyle w:val="BulletCompact"/>
      </w:pPr>
      <w:r>
        <w:t>¿Cada característica conserva su pauta y su ejemplo correspondiente, en el mismo orden?</w:t>
      </w:r>
    </w:p>
    <w:p>
      <w:pPr>
        <w:pStyle w:val="BulletCompact"/>
      </w:pPr>
      <w:r>
        <w:t>¿Los ejemplos son variados y no inventan circunstancias personales?</w:t>
      </w:r>
    </w:p>
    <w:p>
      <w:pPr>
        <w:pStyle w:val="BulletCompact"/>
      </w:pPr>
      <w:r>
        <w:t>¿Los términos astrológicos se entienden sin conocimientos previos?</w:t>
      </w:r>
    </w:p>
    <w:p>
      <w:pPr>
        <w:pStyle w:val="BulletCompact"/>
      </w:pPr>
      <w:r>
        <w:t>¿Se ha evitado repetir el texto fijo en gris dentro del bloque personalizado?</w:t>
      </w:r>
    </w:p>
    <w:p>
      <w:pPr>
        <w:pStyle w:val="BulletCompact"/>
      </w:pPr>
      <w:r>
        <w:t>¿La puerta Descendente termina aportando una comprensión diferente de Sol, Luna, Ascendente y Descendente, en lugar de ser una versión con otras palabras?</w:t>
      </w:r>
    </w:p>
    <w:p>
      <w:pPr>
        <w:pStyle w:val="BulletCompact"/>
      </w:pPr>
      <w:r>
        <w:t>¿La lectura evita predecir qué tipo de persona llegará a la vida del consultante?</w:t>
      </w:r>
    </w:p>
    <w:p>
      <w:pPr>
        <w:pStyle w:val="BulletCompact"/>
      </w:pPr>
      <w:r>
        <w:t>¿Se distingue lo que pertenece a la propia experiencia de lo que decide la otra persona?</w:t>
      </w:r>
    </w:p>
    <w:p>
      <w:pPr>
        <w:pStyle w:val="BulletCompact"/>
      </w:pPr>
      <w:r>
        <w:t>¿Los dos regentes, cuando existen, aportan funciones diferenciadas antes de integrarse?</w:t>
      </w:r>
    </w:p>
    <w:p>
      <w:pPr>
        <w:pStyle w:val="BulletCompact"/>
      </w:pPr>
      <w:r>
        <w:t>¿Los ejemplos muestran consentimiento, reciprocidad y autonomía, no técnicas para controlar la respuesta ajena?</w:t>
      </w:r>
    </w:p>
    <w:p>
      <w:pPr>
        <w:pStyle w:val="BulletCompact"/>
      </w:pPr>
      <w:r>
        <w:t>¿El eje se desarrolla desde casa VII sin copiar el bloque del Ascendente?</w:t>
      </w:r>
    </w:p>
    <w:tbl>
      <w:tblPr>
        <w:tblW w:type="auto" w:w="0"/>
        <w:jc w:val="center"/>
        <w:tblLayout w:type="fixed"/>
        <w:tblLook w:firstColumn="1" w:firstRow="1" w:lastColumn="0" w:lastRow="0" w:noHBand="0" w:noVBand="1" w:val="04A0"/>
      </w:tblPr>
      <w:tblGrid>
        <w:gridCol w:w="9581"/>
      </w:tblGrid>
      <w:tr>
        <w:tc>
          <w:tcPr>
            <w:tcW w:type="dxa" w:w="9071"/>
            <w:shd w:fill="F6E0D0"/>
            <w:tcMar>
              <w:top w:w="150" w:type="dxa"/>
              <w:start w:w="180" w:type="dxa"/>
              <w:bottom w:w="150" w:type="dxa"/>
              <w:end w:w="180" w:type="dxa"/>
            </w:tcMar>
          </w:tcPr>
          <w:p>
            <w:pPr>
              <w:pStyle w:val="Callout"/>
            </w:pPr>
            <w:r>
              <w:rPr>
                <w:b/>
              </w:rPr>
              <w:t xml:space="preserve">Criterio de entrega. </w:t>
            </w:r>
            <w:r>
              <w:t>La revisión debe producir correcciones antes de entregar. Si una conexión falta, se escribe; si una idea se repite sin aportar profundidad, se integra o se elimina; si un estado introduce un tema no preparado, se completa antes el desarrollo correspondiente.</w:t>
            </w:r>
          </w:p>
        </w:tc>
      </w:tr>
    </w:tbl>
    <w:sectPr w:rsidR="00FC693F" w:rsidRPr="0006063C" w:rsidSect="00034616">
      <w:footerReference w:type="default" r:id="rId9"/>
      <w:pgSz w:w="11906" w:h="16838"/>
      <w:pgMar w:top="1020" w:right="1134"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5B5B"/>
        <w:sz w:val="16"/>
      </w:rPr>
      <w:t xml:space="preserve">SARANA VEDA · INSTRUCCIONES DESCENDENTE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B8774E"/>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rial" w:hAnsi="Arial"/>
      <w:b/>
      <w:color w:val="B877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b w:val="0"/>
      <w:i/>
      <w:iCs/>
      <w:color w:val="5B5B5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line="259" w:lineRule="auto"/>
    </w:pPr>
    <w:rPr>
      <w:rFonts w:ascii="Arial" w:hAnsi="Arial"/>
      <w:color w:val="222222"/>
      <w:sz w:val="20"/>
    </w:rPr>
  </w:style>
  <w:style w:type="paragraph" w:customStyle="1" w:styleId="Small">
    <w:name w:val="Small"/>
    <w:pPr>
      <w:spacing w:after="80"/>
    </w:pPr>
    <w:rPr>
      <w:rFonts w:ascii="Arial" w:hAnsi="Arial"/>
      <w:color w:val="5B5B5B"/>
      <w:sz w:val="18"/>
    </w:rPr>
  </w:style>
  <w:style w:type="paragraph" w:customStyle="1" w:styleId="BulletCompact">
    <w:name w:val="Bullet Compact"/>
    <w:basedOn w:val="ListBullet"/>
    <w:pPr>
      <w:spacing w:after="40"/>
    </w:pPr>
    <w:rPr>
      <w:rFonts w:ascii="Arial" w:hAnsi="Arial"/>
      <w:sz w:val="20"/>
    </w:rPr>
  </w:style>
  <w:style w:type="paragraph" w:customStyle="1" w:styleId="NumberCompact">
    <w:name w:val="Number Compact"/>
    <w:basedOn w:val="ListNumber"/>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