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mbria" w:hAnsi="Cambria"/>
          <w:b w:val="0"/>
          <w:i w:val="0"/>
          <w:color w:val="14313A"/>
          <w:sz w:val="40"/>
        </w:rPr>
        <w:t>MERIDIANO CAPITAL</w:t>
      </w:r>
    </w:p>
    <w:p>
      <w:pPr>
        <w:spacing w:after="0"/>
      </w:pPr>
      <w:r>
        <w:rPr>
          <w:b w:val="0"/>
          <w:i w:val="0"/>
          <w:color w:val="6B6154"/>
          <w:sz w:val="18"/>
        </w:rPr>
        <w:t>Asesoría, desarrollo y gestión de inversiones inmobiliarias · Asunción, Paraguay</w:t>
      </w:r>
    </w:p>
    <w:p>
      <w:pPr>
        <w:pBdr>
          <w:bottom w:val="single" w:sz="8" w:color="C9982E"/>
        </w:pBdr>
        <w:spacing w:after="120"/>
      </w:pPr>
    </w:p>
    <w:p>
      <w:pPr>
        <w:spacing w:after="160"/>
      </w:pPr>
      <w:r>
        <w:rPr>
          <w:b w:val="0"/>
          <w:i/>
          <w:color w:val="8B3323"/>
          <w:sz w:val="17"/>
        </w:rPr>
        <w:t xml:space="preserve">BORRADOR INCOMPLETO — documento de trabajo, no apto para firma hasta resolver los puntos resaltados </w:t>
      </w:r>
      <w:r>
        <w:rPr>
          <w:b w:val="0"/>
          <w:i/>
          <w:color w:val="8B3323"/>
          <w:sz w:val="17"/>
          <w:highlight w:val="yellow"/>
        </w:rPr>
        <w:t>[PENDIENTE: ...]</w:t>
      </w:r>
    </w:p>
    <w:p>
      <w:pPr>
        <w:spacing w:after="0"/>
        <w:jc w:val="right"/>
      </w:pPr>
      <w:r>
        <w:rPr>
          <w:b w:val="0"/>
          <w:i w:val="0"/>
        </w:rPr>
        <w:t>Asunción, 13 de octubre de 2026</w:t>
      </w:r>
    </w:p>
    <w:p>
      <w:pPr>
        <w:spacing w:after="200"/>
        <w:jc w:val="right"/>
      </w:pPr>
      <w:r>
        <w:rPr>
          <w:b w:val="0"/>
          <w:i w:val="0"/>
          <w:color w:val="6B6154"/>
          <w:sz w:val="18"/>
        </w:rPr>
        <w:t>Ref.: HERRERA-002-OF01</w:t>
      </w:r>
    </w:p>
    <w:p>
      <w:pPr>
        <w:spacing w:after="0"/>
      </w:pPr>
      <w:r>
        <w:rPr>
          <w:b w:val="0"/>
          <w:i w:val="0"/>
        </w:rPr>
        <w:t>Señora</w:t>
      </w:r>
    </w:p>
    <w:p>
      <w:pPr>
        <w:spacing w:after="0"/>
      </w:pPr>
      <w:r>
        <w:rPr>
          <w:b/>
          <w:i w:val="0"/>
        </w:rPr>
        <w:t xml:space="preserve">Andrea Elizabeth Cáceres de Ruiz </w:t>
      </w:r>
      <w:r>
        <w:rPr>
          <w:b w:val="0"/>
          <w:i w:val="0"/>
          <w:highlight w:val="yellow"/>
        </w:rPr>
        <w:t>[PENDIENTE: confirmar titular/es registral/es vigente/s y, si corresponde, cónyuge o representante con facultades]</w:t>
      </w:r>
    </w:p>
    <w:p>
      <w:pPr>
        <w:spacing w:after="200"/>
      </w:pPr>
      <w:r>
        <w:rPr>
          <w:b w:val="0"/>
          <w:i w:val="0"/>
        </w:rPr>
        <w:t>Presente</w:t>
      </w:r>
    </w:p>
    <w:p>
      <w:pPr>
        <w:spacing w:after="200"/>
      </w:pPr>
      <w:r>
        <w:rPr>
          <w:b/>
          <w:i w:val="0"/>
          <w:color w:val="14313A"/>
        </w:rPr>
        <w:t xml:space="preserve">Asunto: </w:t>
      </w:r>
      <w:r>
        <w:rPr>
          <w:b w:val="0"/>
          <w:i w:val="0"/>
        </w:rPr>
        <w:t>Oferta de compra de la casa ubicada en Gral. Carlos Díaz León N° 3126, Barrio Herrera, Asunción</w:t>
      </w:r>
    </w:p>
    <w:p>
      <w:pPr>
        <w:spacing w:after="120"/>
      </w:pPr>
      <w:r>
        <w:rPr>
          <w:b w:val="0"/>
          <w:i w:val="0"/>
        </w:rPr>
        <w:t>De mi consideración:</w:t>
      </w:r>
    </w:p>
    <w:p>
      <w:r>
        <w:rPr>
          <w:b w:val="0"/>
          <w:i w:val="0"/>
        </w:rPr>
        <w:t xml:space="preserve">Quien suscribe, Ana Liesel Guggiari Niederberger, con Cédula de Identidad paraguaya N° 3.209.470, </w:t>
      </w:r>
      <w:r>
        <w:rPr>
          <w:b w:val="0"/>
          <w:i w:val="0"/>
          <w:highlight w:val="yellow"/>
        </w:rPr>
        <w:t>[PENDIENTE: estado civil, si corresponde]</w:t>
      </w:r>
      <w:r>
        <w:rPr>
          <w:b w:val="0"/>
          <w:i w:val="0"/>
        </w:rPr>
        <w:t>, formula por medio de la presente una oferta de compra del inmueble que se describe a continuación, en los términos y condiciones que se detallan en esta carta.</w:t>
      </w:r>
    </w:p>
    <w:p>
      <w:pPr>
        <w:keepNext/>
        <w:spacing w:after="60" w:before="160"/>
      </w:pPr>
      <w:r>
        <w:rPr>
          <w:rFonts w:ascii="Cambria" w:hAnsi="Cambria"/>
          <w:b w:val="0"/>
          <w:i w:val="0"/>
          <w:color w:val="14313A"/>
          <w:sz w:val="25"/>
        </w:rPr>
        <w:t>1. Inmueble objeto de la oferta</w:t>
      </w:r>
    </w:p>
    <w:tbl>
      <w:tblPr>
        <w:tblW w:type="auto" w:w="0"/>
        <w:jc w:val="center"/>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Pr>
      <w:tblGrid>
        <w:gridCol w:w="4592"/>
        <w:gridCol w:w="4592"/>
      </w:tblGrid>
      <w:tr>
        <w:trPr>
          <w:cantSplit/>
        </w:trPr>
        <w:tc>
          <w:tcPr>
            <w:tcW w:type="dxa" w:w="2608"/>
            <w:shd w:val="clear" w:color="auto" w:fill="F7F4EE"/>
          </w:tcPr>
          <w:p>
            <w:pPr>
              <w:keepNext/>
              <w:spacing w:after="20"/>
            </w:pPr>
            <w:r>
              <w:rPr>
                <w:b/>
                <w:i w:val="0"/>
                <w:color w:val="14313A"/>
                <w:sz w:val="19"/>
              </w:rPr>
              <w:t>Tipo</w:t>
            </w:r>
          </w:p>
        </w:tc>
        <w:tc>
          <w:tcPr>
            <w:tcW w:type="dxa" w:w="6576"/>
            <w:shd w:val="clear" w:color="auto" w:fill="F7F4EE"/>
          </w:tcPr>
          <w:p>
            <w:pPr>
              <w:keepNext/>
              <w:spacing w:after="20"/>
            </w:pPr>
            <w:r>
              <w:rPr>
                <w:b w:val="0"/>
                <w:i w:val="0"/>
                <w:sz w:val="19"/>
              </w:rPr>
              <w:t>Casa</w:t>
            </w:r>
          </w:p>
        </w:tc>
      </w:tr>
      <w:tr>
        <w:trPr>
          <w:cantSplit/>
        </w:trPr>
        <w:tc>
          <w:tcPr>
            <w:tcW w:type="dxa" w:w="2608"/>
          </w:tcPr>
          <w:p>
            <w:pPr>
              <w:keepNext/>
              <w:spacing w:after="20"/>
            </w:pPr>
            <w:r>
              <w:rPr>
                <w:b/>
                <w:i w:val="0"/>
                <w:color w:val="14313A"/>
                <w:sz w:val="19"/>
              </w:rPr>
              <w:t>Ubicación</w:t>
            </w:r>
          </w:p>
        </w:tc>
        <w:tc>
          <w:tcPr>
            <w:tcW w:type="dxa" w:w="6576"/>
          </w:tcPr>
          <w:p>
            <w:pPr>
              <w:keepNext/>
              <w:spacing w:after="20"/>
            </w:pPr>
            <w:r>
              <w:rPr>
                <w:b w:val="0"/>
                <w:i w:val="0"/>
                <w:sz w:val="19"/>
              </w:rPr>
              <w:t xml:space="preserve">Gral. Carlos Díaz León N° 3126, entre Gral. Rogelio Benítez y </w:t>
            </w:r>
            <w:r>
              <w:rPr>
                <w:b w:val="0"/>
                <w:i w:val="0"/>
                <w:sz w:val="19"/>
                <w:highlight w:val="yellow"/>
              </w:rPr>
              <w:t>[PENDIENTE: segunda calle]</w:t>
            </w:r>
          </w:p>
        </w:tc>
      </w:tr>
      <w:tr>
        <w:trPr>
          <w:cantSplit/>
        </w:trPr>
        <w:tc>
          <w:tcPr>
            <w:tcW w:type="dxa" w:w="2608"/>
            <w:shd w:val="clear" w:color="auto" w:fill="F7F4EE"/>
          </w:tcPr>
          <w:p>
            <w:pPr>
              <w:keepNext/>
              <w:spacing w:after="20"/>
            </w:pPr>
            <w:r>
              <w:rPr>
                <w:b/>
                <w:i w:val="0"/>
                <w:color w:val="14313A"/>
                <w:sz w:val="19"/>
              </w:rPr>
              <w:t>Barrio / ciudad</w:t>
            </w:r>
          </w:p>
        </w:tc>
        <w:tc>
          <w:tcPr>
            <w:tcW w:type="dxa" w:w="6576"/>
            <w:shd w:val="clear" w:color="auto" w:fill="F7F4EE"/>
          </w:tcPr>
          <w:p>
            <w:pPr>
              <w:keepNext/>
              <w:spacing w:after="20"/>
            </w:pPr>
            <w:r>
              <w:rPr>
                <w:b w:val="0"/>
                <w:i w:val="0"/>
                <w:sz w:val="19"/>
              </w:rPr>
              <w:t>Barrio Herrera, Asunción, Capital</w:t>
            </w:r>
          </w:p>
        </w:tc>
      </w:tr>
      <w:tr>
        <w:trPr>
          <w:cantSplit/>
        </w:trPr>
        <w:tc>
          <w:tcPr>
            <w:tcW w:type="dxa" w:w="2608"/>
          </w:tcPr>
          <w:p>
            <w:pPr>
              <w:keepNext/>
              <w:spacing w:after="20"/>
            </w:pPr>
            <w:r>
              <w:rPr>
                <w:b/>
                <w:i w:val="0"/>
                <w:color w:val="14313A"/>
                <w:sz w:val="19"/>
              </w:rPr>
              <w:t>Cuenta corriente catastral</w:t>
            </w:r>
          </w:p>
        </w:tc>
        <w:tc>
          <w:tcPr>
            <w:tcW w:type="dxa" w:w="6576"/>
          </w:tcPr>
          <w:p>
            <w:pPr>
              <w:keepNext/>
              <w:spacing w:after="20"/>
            </w:pPr>
            <w:r>
              <w:rPr>
                <w:b w:val="0"/>
                <w:i w:val="0"/>
                <w:sz w:val="19"/>
              </w:rPr>
              <w:t>14-0504-18-0</w:t>
            </w:r>
          </w:p>
        </w:tc>
      </w:tr>
      <w:tr>
        <w:trPr>
          <w:cantSplit/>
        </w:trPr>
        <w:tc>
          <w:tcPr>
            <w:tcW w:type="dxa" w:w="2608"/>
            <w:shd w:val="clear" w:color="auto" w:fill="F7F4EE"/>
          </w:tcPr>
          <w:p>
            <w:pPr>
              <w:keepNext/>
              <w:spacing w:after="20"/>
            </w:pPr>
            <w:r>
              <w:rPr>
                <w:b/>
                <w:i w:val="0"/>
                <w:color w:val="14313A"/>
                <w:sz w:val="19"/>
              </w:rPr>
              <w:t>Finca / matrícula</w:t>
            </w:r>
          </w:p>
        </w:tc>
        <w:tc>
          <w:tcPr>
            <w:tcW w:type="dxa" w:w="6576"/>
            <w:shd w:val="clear" w:color="auto" w:fill="F7F4EE"/>
          </w:tcPr>
          <w:p>
            <w:pPr>
              <w:keepNext/>
              <w:spacing w:after="20"/>
            </w:pPr>
            <w:r>
              <w:rPr>
                <w:b w:val="0"/>
                <w:i w:val="0"/>
                <w:sz w:val="19"/>
                <w:highlight w:val="yellow"/>
              </w:rPr>
              <w:t>[PENDIENTE: número de finca y distrito según título]</w:t>
            </w:r>
          </w:p>
        </w:tc>
      </w:tr>
      <w:tr>
        <w:trPr>
          <w:cantSplit/>
        </w:trPr>
        <w:tc>
          <w:tcPr>
            <w:tcW w:type="dxa" w:w="2608"/>
          </w:tcPr>
          <w:p>
            <w:pPr>
              <w:keepNext/>
              <w:spacing w:after="20"/>
            </w:pPr>
            <w:r>
              <w:rPr>
                <w:b/>
                <w:i w:val="0"/>
                <w:color w:val="14313A"/>
                <w:sz w:val="19"/>
              </w:rPr>
              <w:t>Superficie de terreno</w:t>
            </w:r>
          </w:p>
        </w:tc>
        <w:tc>
          <w:tcPr>
            <w:tcW w:type="dxa" w:w="6576"/>
          </w:tcPr>
          <w:p>
            <w:pPr>
              <w:keepNext/>
              <w:spacing w:after="20"/>
            </w:pPr>
            <w:r>
              <w:rPr>
                <w:b w:val="0"/>
                <w:i w:val="0"/>
                <w:sz w:val="19"/>
              </w:rPr>
              <w:t>402 m² (según registro municipal; a confirmar con título y plano)</w:t>
            </w:r>
          </w:p>
        </w:tc>
      </w:tr>
      <w:tr>
        <w:trPr>
          <w:cantSplit/>
        </w:trPr>
        <w:tc>
          <w:tcPr>
            <w:tcW w:type="dxa" w:w="2608"/>
            <w:shd w:val="clear" w:color="auto" w:fill="F7F4EE"/>
          </w:tcPr>
          <w:p>
            <w:pPr>
              <w:keepNext/>
              <w:spacing w:after="20"/>
            </w:pPr>
            <w:r>
              <w:rPr>
                <w:b/>
                <w:i w:val="0"/>
                <w:color w:val="14313A"/>
                <w:sz w:val="19"/>
              </w:rPr>
              <w:t>Superficie edificada</w:t>
            </w:r>
          </w:p>
        </w:tc>
        <w:tc>
          <w:tcPr>
            <w:tcW w:type="dxa" w:w="6576"/>
            <w:shd w:val="clear" w:color="auto" w:fill="F7F4EE"/>
          </w:tcPr>
          <w:p>
            <w:pPr>
              <w:keepNext/>
              <w:spacing w:after="20"/>
            </w:pPr>
            <w:r>
              <w:rPr>
                <w:b w:val="0"/>
                <w:i w:val="0"/>
                <w:sz w:val="19"/>
              </w:rPr>
              <w:t>112 m² (según registro municipal; a confirmar con título y plano)</w:t>
            </w:r>
          </w:p>
        </w:tc>
      </w:tr>
      <w:tr>
        <w:trPr>
          <w:cantSplit/>
        </w:trPr>
        <w:tc>
          <w:tcPr>
            <w:tcW w:type="dxa" w:w="2608"/>
          </w:tcPr>
          <w:p>
            <w:pPr>
              <w:keepNext w:val="0"/>
              <w:spacing w:after="20"/>
            </w:pPr>
            <w:r>
              <w:rPr>
                <w:b/>
                <w:i w:val="0"/>
                <w:color w:val="14313A"/>
                <w:sz w:val="19"/>
              </w:rPr>
              <w:t>Bienes incluidos / excluidos</w:t>
            </w:r>
          </w:p>
        </w:tc>
        <w:tc>
          <w:tcPr>
            <w:tcW w:type="dxa" w:w="6576"/>
          </w:tcPr>
          <w:p>
            <w:pPr>
              <w:keepNext w:val="0"/>
              <w:spacing w:after="20"/>
            </w:pPr>
            <w:r>
              <w:rPr>
                <w:b w:val="0"/>
                <w:i w:val="0"/>
                <w:sz w:val="19"/>
                <w:highlight w:val="yellow"/>
              </w:rPr>
              <w:t>[PENDIENTE: detallar, o indicar que no hay bienes adicionales]</w:t>
            </w:r>
          </w:p>
        </w:tc>
      </w:tr>
    </w:tbl>
    <w:p>
      <w:pPr>
        <w:spacing w:after="40"/>
      </w:pPr>
    </w:p>
    <w:p>
      <w:pPr>
        <w:keepNext/>
        <w:spacing w:after="60" w:before="160"/>
      </w:pPr>
      <w:r>
        <w:rPr>
          <w:rFonts w:ascii="Cambria" w:hAnsi="Cambria"/>
          <w:b w:val="0"/>
          <w:i w:val="0"/>
          <w:color w:val="14313A"/>
          <w:sz w:val="25"/>
        </w:rPr>
        <w:t>2. Precio</w:t>
      </w:r>
    </w:p>
    <w:p>
      <w:r>
        <w:rPr>
          <w:b w:val="0"/>
          <w:i w:val="0"/>
        </w:rPr>
        <w:t>Precio de venta publicado, como referencia: USD 220.000 (doscientos veinte mil dólares estadounidenses).</w:t>
      </w:r>
    </w:p>
    <w:p>
      <w:r>
        <w:rPr>
          <w:b w:val="0"/>
          <w:i w:val="0"/>
        </w:rPr>
        <w:t xml:space="preserve">Precio ofertado: </w:t>
      </w:r>
      <w:r>
        <w:rPr>
          <w:b/>
          <w:i w:val="0"/>
          <w:color w:val="14313A"/>
        </w:rPr>
        <w:t>Gs 1.000.000.000 (mil millones de guaraníes)</w:t>
      </w:r>
      <w:r>
        <w:rPr>
          <w:b w:val="0"/>
          <w:i w:val="0"/>
        </w:rPr>
        <w:t>, precio total por el inmueble.</w:t>
      </w:r>
    </w:p>
    <w:p>
      <w:r>
        <w:rPr>
          <w:b w:val="0"/>
          <w:i w:val="0"/>
        </w:rPr>
        <w:t>La oferta se formula y se pagará íntegramente en guaraníes, moneda en la que la oferente cuenta con un préstamo bancario pre-aprobado. El precio ofertado es una suma fija en guaraníes y no se ajustará por variaciones del tipo de cambio.</w:t>
      </w:r>
    </w:p>
    <w:p>
      <w:pPr>
        <w:keepNext/>
        <w:spacing w:after="60" w:before="160"/>
      </w:pPr>
      <w:r>
        <w:rPr>
          <w:rFonts w:ascii="Cambria" w:hAnsi="Cambria"/>
          <w:b w:val="0"/>
          <w:i w:val="0"/>
          <w:color w:val="14313A"/>
          <w:sz w:val="25"/>
        </w:rPr>
        <w:t>3. Forma de pago</w:t>
      </w:r>
    </w:p>
    <w:tbl>
      <w:tblPr>
        <w:tblW w:type="auto" w:w="0"/>
        <w:jc w:val="center"/>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Pr>
      <w:tblGrid>
        <w:gridCol w:w="1837"/>
        <w:gridCol w:w="1837"/>
        <w:gridCol w:w="1837"/>
        <w:gridCol w:w="1837"/>
        <w:gridCol w:w="1837"/>
      </w:tblGrid>
      <w:tr>
        <w:trPr>
          <w:cantSplit/>
        </w:trPr>
        <w:tc>
          <w:tcPr>
            <w:tcW w:type="dxa" w:w="2608"/>
            <w:shd w:val="clear" w:color="auto" w:fill="14313A"/>
          </w:tcPr>
          <w:p>
            <w:pPr>
              <w:keepNext/>
              <w:spacing w:after="20"/>
            </w:pPr>
            <w:r>
              <w:rPr>
                <w:b/>
                <w:i w:val="0"/>
                <w:color w:val="FFFFFF"/>
                <w:sz w:val="18"/>
              </w:rPr>
              <w:t>Concepto</w:t>
            </w:r>
          </w:p>
        </w:tc>
        <w:tc>
          <w:tcPr>
            <w:tcW w:type="dxa" w:w="1644"/>
            <w:shd w:val="clear" w:color="auto" w:fill="14313A"/>
          </w:tcPr>
          <w:p>
            <w:pPr>
              <w:keepNext/>
              <w:spacing w:after="20"/>
            </w:pPr>
            <w:r>
              <w:rPr>
                <w:b/>
                <w:i w:val="0"/>
                <w:color w:val="FFFFFF"/>
                <w:sz w:val="18"/>
              </w:rPr>
              <w:t>Importe</w:t>
            </w:r>
          </w:p>
        </w:tc>
        <w:tc>
          <w:tcPr>
            <w:tcW w:type="dxa" w:w="850"/>
            <w:shd w:val="clear" w:color="auto" w:fill="14313A"/>
          </w:tcPr>
          <w:p>
            <w:pPr>
              <w:keepNext/>
              <w:spacing w:after="20"/>
            </w:pPr>
            <w:r>
              <w:rPr>
                <w:b/>
                <w:i w:val="0"/>
                <w:color w:val="FFFFFF"/>
                <w:sz w:val="18"/>
              </w:rPr>
              <w:t>Moneda</w:t>
            </w:r>
          </w:p>
        </w:tc>
        <w:tc>
          <w:tcPr>
            <w:tcW w:type="dxa" w:w="2041"/>
            <w:shd w:val="clear" w:color="auto" w:fill="14313A"/>
          </w:tcPr>
          <w:p>
            <w:pPr>
              <w:keepNext/>
              <w:spacing w:after="20"/>
            </w:pPr>
            <w:r>
              <w:rPr>
                <w:b/>
                <w:i w:val="0"/>
                <w:color w:val="FFFFFF"/>
                <w:sz w:val="18"/>
              </w:rPr>
              <w:t>Fecha o hito</w:t>
            </w:r>
          </w:p>
        </w:tc>
        <w:tc>
          <w:tcPr>
            <w:tcW w:type="dxa" w:w="2041"/>
            <w:shd w:val="clear" w:color="auto" w:fill="14313A"/>
          </w:tcPr>
          <w:p>
            <w:pPr>
              <w:keepNext/>
              <w:spacing w:after="20"/>
            </w:pPr>
            <w:r>
              <w:rPr>
                <w:b/>
                <w:i w:val="0"/>
                <w:color w:val="FFFFFF"/>
                <w:sz w:val="18"/>
              </w:rPr>
              <w:t>Condición</w:t>
            </w:r>
          </w:p>
        </w:tc>
      </w:tr>
      <w:tr>
        <w:trPr>
          <w:cantSplit/>
        </w:trPr>
        <w:tc>
          <w:tcPr>
            <w:tcW w:type="dxa" w:w="2608"/>
          </w:tcPr>
          <w:p>
            <w:pPr>
              <w:keepNext/>
              <w:spacing w:after="20"/>
            </w:pPr>
            <w:r>
              <w:rPr>
                <w:b w:val="0"/>
                <w:i w:val="0"/>
                <w:sz w:val="18"/>
              </w:rPr>
              <w:t>Fondos propios de la compradora</w:t>
            </w:r>
          </w:p>
        </w:tc>
        <w:tc>
          <w:tcPr>
            <w:tcW w:type="dxa" w:w="1644"/>
          </w:tcPr>
          <w:p>
            <w:pPr>
              <w:keepNext/>
              <w:spacing w:after="20"/>
            </w:pPr>
            <w:r>
              <w:rPr>
                <w:b w:val="0"/>
                <w:i w:val="0"/>
                <w:sz w:val="18"/>
                <w:highlight w:val="yellow"/>
              </w:rPr>
              <w:t>[PENDIENTE: importe]</w:t>
            </w:r>
          </w:p>
        </w:tc>
        <w:tc>
          <w:tcPr>
            <w:tcW w:type="dxa" w:w="850"/>
          </w:tcPr>
          <w:p>
            <w:pPr>
              <w:keepNext/>
              <w:spacing w:after="20"/>
            </w:pPr>
            <w:r>
              <w:rPr>
                <w:b w:val="0"/>
                <w:i w:val="0"/>
                <w:sz w:val="18"/>
              </w:rPr>
              <w:t>Gs</w:t>
            </w:r>
          </w:p>
        </w:tc>
        <w:tc>
          <w:tcPr>
            <w:tcW w:type="dxa" w:w="2041"/>
          </w:tcPr>
          <w:p>
            <w:pPr>
              <w:keepNext/>
              <w:spacing w:after="20"/>
            </w:pPr>
            <w:r>
              <w:rPr>
                <w:b w:val="0"/>
                <w:i w:val="0"/>
                <w:sz w:val="18"/>
                <w:highlight w:val="yellow"/>
              </w:rPr>
              <w:t>[PENDIENTE: momento del pago]</w:t>
            </w:r>
          </w:p>
        </w:tc>
        <w:tc>
          <w:tcPr>
            <w:tcW w:type="dxa" w:w="2041"/>
          </w:tcPr>
          <w:p>
            <w:pPr>
              <w:keepNext/>
              <w:spacing w:after="20"/>
            </w:pPr>
            <w:r>
              <w:rPr>
                <w:b w:val="0"/>
                <w:i w:val="0"/>
                <w:sz w:val="18"/>
              </w:rPr>
              <w:t>[PENDIENTE]</w:t>
            </w:r>
          </w:p>
        </w:tc>
      </w:tr>
      <w:tr>
        <w:trPr>
          <w:cantSplit/>
        </w:trPr>
        <w:tc>
          <w:tcPr>
            <w:tcW w:type="dxa" w:w="2608"/>
            <w:shd w:val="clear" w:color="auto" w:fill="F7F4EE"/>
          </w:tcPr>
          <w:p>
            <w:pPr>
              <w:keepNext/>
              <w:spacing w:after="20"/>
            </w:pPr>
            <w:r>
              <w:rPr>
                <w:b w:val="0"/>
                <w:i w:val="0"/>
                <w:sz w:val="18"/>
              </w:rPr>
              <w:t>Préstamo bancario pre-aprobado (</w:t>
            </w:r>
            <w:r>
              <w:rPr>
                <w:b w:val="0"/>
                <w:i w:val="0"/>
                <w:sz w:val="18"/>
                <w:highlight w:val="yellow"/>
              </w:rPr>
              <w:t>[PENDIENTE: entidad financiera]</w:t>
            </w:r>
            <w:r>
              <w:rPr>
                <w:b w:val="0"/>
                <w:i w:val="0"/>
                <w:sz w:val="18"/>
              </w:rPr>
              <w:t>)</w:t>
            </w:r>
          </w:p>
        </w:tc>
        <w:tc>
          <w:tcPr>
            <w:tcW w:type="dxa" w:w="1644"/>
            <w:shd w:val="clear" w:color="auto" w:fill="F7F4EE"/>
          </w:tcPr>
          <w:p>
            <w:pPr>
              <w:keepNext/>
              <w:spacing w:after="20"/>
            </w:pPr>
            <w:r>
              <w:rPr>
                <w:b w:val="0"/>
                <w:i w:val="0"/>
                <w:sz w:val="18"/>
                <w:highlight w:val="yellow"/>
              </w:rPr>
              <w:t>[PENDIENTE: importe]</w:t>
            </w:r>
          </w:p>
        </w:tc>
        <w:tc>
          <w:tcPr>
            <w:tcW w:type="dxa" w:w="850"/>
            <w:shd w:val="clear" w:color="auto" w:fill="F7F4EE"/>
          </w:tcPr>
          <w:p>
            <w:pPr>
              <w:keepNext/>
              <w:spacing w:after="20"/>
            </w:pPr>
            <w:r>
              <w:rPr>
                <w:b w:val="0"/>
                <w:i w:val="0"/>
                <w:sz w:val="18"/>
              </w:rPr>
              <w:t>Gs</w:t>
            </w:r>
          </w:p>
        </w:tc>
        <w:tc>
          <w:tcPr>
            <w:tcW w:type="dxa" w:w="2041"/>
            <w:shd w:val="clear" w:color="auto" w:fill="F7F4EE"/>
          </w:tcPr>
          <w:p>
            <w:pPr>
              <w:keepNext/>
              <w:spacing w:after="20"/>
            </w:pPr>
            <w:r>
              <w:rPr>
                <w:b w:val="0"/>
                <w:i w:val="0"/>
                <w:sz w:val="18"/>
                <w:highlight w:val="yellow"/>
              </w:rPr>
              <w:t>[PENDIENTE: a la firma de la escritura u otro hito]</w:t>
            </w:r>
          </w:p>
        </w:tc>
        <w:tc>
          <w:tcPr>
            <w:tcW w:type="dxa" w:w="2041"/>
            <w:shd w:val="clear" w:color="auto" w:fill="F7F4EE"/>
          </w:tcPr>
          <w:p>
            <w:pPr>
              <w:keepNext/>
              <w:spacing w:after="20"/>
            </w:pPr>
            <w:r>
              <w:rPr>
                <w:b w:val="0"/>
                <w:i w:val="0"/>
                <w:sz w:val="18"/>
              </w:rPr>
              <w:t>Desembolso de la entidad financiera</w:t>
            </w:r>
          </w:p>
        </w:tc>
      </w:tr>
      <w:tr>
        <w:trPr>
          <w:cantSplit/>
        </w:trPr>
        <w:tc>
          <w:tcPr>
            <w:tcW w:type="dxa" w:w="2608"/>
          </w:tcPr>
          <w:p>
            <w:pPr>
              <w:keepNext w:val="0"/>
              <w:spacing w:after="20"/>
            </w:pPr>
            <w:r>
              <w:rPr>
                <w:b/>
                <w:i w:val="0"/>
                <w:color w:val="14313A"/>
                <w:sz w:val="18"/>
              </w:rPr>
              <w:t>Total</w:t>
            </w:r>
          </w:p>
        </w:tc>
        <w:tc>
          <w:tcPr>
            <w:tcW w:type="dxa" w:w="1644"/>
          </w:tcPr>
          <w:p>
            <w:pPr>
              <w:keepNext w:val="0"/>
              <w:spacing w:after="20"/>
            </w:pPr>
            <w:r>
              <w:rPr>
                <w:b/>
                <w:i w:val="0"/>
                <w:color w:val="14313A"/>
                <w:sz w:val="18"/>
              </w:rPr>
              <w:t>1.000.000.000</w:t>
            </w:r>
          </w:p>
        </w:tc>
        <w:tc>
          <w:tcPr>
            <w:tcW w:type="dxa" w:w="850"/>
          </w:tcPr>
          <w:p>
            <w:pPr>
              <w:keepNext w:val="0"/>
              <w:spacing w:after="20"/>
            </w:pPr>
            <w:r>
              <w:rPr>
                <w:b/>
                <w:i w:val="0"/>
                <w:color w:val="14313A"/>
                <w:sz w:val="18"/>
              </w:rPr>
              <w:t>Gs</w:t>
            </w:r>
          </w:p>
        </w:tc>
        <w:tc>
          <w:tcPr>
            <w:tcW w:type="dxa" w:w="2041"/>
          </w:tcPr>
          <w:p>
            <w:pPr>
              <w:keepNext w:val="0"/>
              <w:spacing w:after="20"/>
            </w:pPr>
          </w:p>
        </w:tc>
        <w:tc>
          <w:tcPr>
            <w:tcW w:type="dxa" w:w="2041"/>
          </w:tcPr>
          <w:p>
            <w:pPr>
              <w:keepNext w:val="0"/>
              <w:spacing w:after="20"/>
            </w:pPr>
          </w:p>
        </w:tc>
      </w:tr>
    </w:tbl>
    <w:p>
      <w:pPr>
        <w:spacing w:after="40"/>
      </w:pPr>
    </w:p>
    <w:p>
      <w:r>
        <w:rPr>
          <w:b w:val="0"/>
          <w:i w:val="0"/>
          <w:sz w:val="19"/>
          <w:highlight w:val="yellow"/>
        </w:rPr>
        <w:t>[PENDIENTE: indicar si la oferta se acompaña de reserva, seña o anticipo; en su caso: importe, naturaleza, imputación al precio, momento del pago, receptor autorizado y reglas de devolución o retención]</w:t>
      </w:r>
    </w:p>
    <w:p>
      <w:pPr>
        <w:keepNext/>
        <w:spacing w:after="60" w:before="160"/>
      </w:pPr>
      <w:r>
        <w:rPr>
          <w:rFonts w:ascii="Cambria" w:hAnsi="Cambria"/>
          <w:b w:val="0"/>
          <w:i w:val="0"/>
          <w:color w:val="14313A"/>
          <w:sz w:val="25"/>
        </w:rPr>
        <w:t>4. Condiciones de la oferta</w:t>
      </w:r>
    </w:p>
    <w:p>
      <w:pPr>
        <w:spacing w:after="80"/>
        <w:ind w:left="283"/>
      </w:pPr>
      <w:r>
        <w:rPr>
          <w:b w:val="0"/>
          <w:i w:val="0"/>
          <w:color w:val="14313A"/>
        </w:rPr>
        <w:t xml:space="preserve">4.1 </w:t>
      </w:r>
      <w:r>
        <w:rPr>
          <w:b/>
          <w:i w:val="0"/>
        </w:rPr>
        <w:t xml:space="preserve">Financiación. </w:t>
      </w:r>
      <w:r>
        <w:rPr>
          <w:b w:val="0"/>
          <w:i w:val="0"/>
        </w:rPr>
        <w:t xml:space="preserve">La compradora cuenta con un préstamo bancario pre-aprobado en guaraníes. </w:t>
      </w:r>
      <w:r>
        <w:rPr>
          <w:b w:val="0"/>
          <w:i w:val="0"/>
          <w:highlight w:val="yellow"/>
        </w:rPr>
        <w:t>[PENDIENTE: definir si la compra queda sujeta a la aprobación definitiva del préstamo y a la tasación de la entidad, y el plazo para obtenerla]</w:t>
      </w:r>
    </w:p>
    <w:p>
      <w:pPr>
        <w:spacing w:after="80"/>
        <w:ind w:left="283"/>
      </w:pPr>
      <w:r>
        <w:rPr>
          <w:b w:val="0"/>
          <w:i w:val="0"/>
          <w:color w:val="14313A"/>
        </w:rPr>
        <w:t xml:space="preserve">4.2 </w:t>
      </w:r>
      <w:r>
        <w:rPr>
          <w:b/>
          <w:i w:val="0"/>
        </w:rPr>
        <w:t xml:space="preserve">Gastos de escritura. </w:t>
      </w:r>
      <w:r>
        <w:rPr>
          <w:b w:val="0"/>
          <w:i w:val="0"/>
        </w:rPr>
        <w:t>Los gastos de escrituración estarán a cargo de la compradora.</w:t>
      </w:r>
    </w:p>
    <w:p>
      <w:pPr>
        <w:spacing w:after="80"/>
        <w:ind w:left="283"/>
      </w:pPr>
      <w:r>
        <w:rPr>
          <w:b w:val="0"/>
          <w:i w:val="0"/>
          <w:color w:val="14313A"/>
        </w:rPr>
        <w:t xml:space="preserve">4.3 </w:t>
      </w:r>
      <w:r>
        <w:rPr>
          <w:b/>
          <w:i w:val="0"/>
        </w:rPr>
        <w:t xml:space="preserve">Impuestos de la venta. </w:t>
      </w:r>
      <w:r>
        <w:rPr>
          <w:b w:val="0"/>
          <w:i w:val="0"/>
        </w:rPr>
        <w:t>El impuesto a las transacciones y el IVA que correspondan a la venta estarán a cargo de la parte vendedora.</w:t>
      </w:r>
    </w:p>
    <w:p>
      <w:pPr>
        <w:spacing w:after="80"/>
        <w:ind w:left="283"/>
      </w:pPr>
      <w:r>
        <w:rPr>
          <w:b w:val="0"/>
          <w:i w:val="0"/>
          <w:color w:val="14313A"/>
        </w:rPr>
        <w:t xml:space="preserve">4.4 </w:t>
      </w:r>
      <w:r>
        <w:rPr>
          <w:b/>
          <w:i w:val="0"/>
        </w:rPr>
        <w:t xml:space="preserve">Documentación, cargas y ocupación. </w:t>
      </w:r>
      <w:r>
        <w:rPr>
          <w:b w:val="0"/>
          <w:i w:val="0"/>
          <w:highlight w:val="yellow"/>
        </w:rPr>
        <w:t>[PENDIENTE: documentación que aportará la vendedora (título, certificados, informe de condiciones de dominio, impuesto inmobiliario al día), situación de gravámenes y deudas, y ocupación actual]</w:t>
      </w:r>
    </w:p>
    <w:p>
      <w:pPr>
        <w:spacing w:after="80"/>
        <w:ind w:left="283"/>
      </w:pPr>
      <w:r>
        <w:rPr>
          <w:b w:val="0"/>
          <w:i w:val="0"/>
          <w:color w:val="14313A"/>
        </w:rPr>
        <w:t xml:space="preserve">4.5 </w:t>
      </w:r>
      <w:r>
        <w:rPr>
          <w:b/>
          <w:i w:val="0"/>
        </w:rPr>
        <w:t xml:space="preserve">Plazos. </w:t>
      </w:r>
      <w:r>
        <w:rPr>
          <w:b w:val="0"/>
          <w:i w:val="0"/>
          <w:highlight w:val="yellow"/>
        </w:rPr>
        <w:t>[PENDIENTE: plazo para firma de boleto o contrato, si lo hubiera; plazo de escritura; fecha y condiciones de entrega de la posesión]</w:t>
      </w:r>
    </w:p>
    <w:p>
      <w:pPr>
        <w:keepNext/>
        <w:spacing w:after="60" w:before="160"/>
      </w:pPr>
      <w:r>
        <w:rPr>
          <w:rFonts w:ascii="Cambria" w:hAnsi="Cambria"/>
          <w:b w:val="0"/>
          <w:i w:val="0"/>
          <w:color w:val="14313A"/>
          <w:sz w:val="25"/>
        </w:rPr>
        <w:t>5. Vigencia y respuesta</w:t>
      </w:r>
    </w:p>
    <w:p>
      <w:r>
        <w:rPr>
          <w:b w:val="0"/>
          <w:i w:val="0"/>
        </w:rPr>
        <w:t xml:space="preserve">La presente oferta se mantiene vigente hasta el </w:t>
      </w:r>
      <w:r>
        <w:rPr>
          <w:b w:val="0"/>
          <w:i w:val="0"/>
          <w:highlight w:val="yellow"/>
        </w:rPr>
        <w:t>[PENDIENTE: fecha]</w:t>
      </w:r>
      <w:r>
        <w:rPr>
          <w:b w:val="0"/>
          <w:i w:val="0"/>
        </w:rPr>
        <w:t xml:space="preserve"> a las </w:t>
      </w:r>
      <w:r>
        <w:rPr>
          <w:b w:val="0"/>
          <w:i w:val="0"/>
          <w:highlight w:val="yellow"/>
        </w:rPr>
        <w:t>[PENDIENTE: hora]</w:t>
      </w:r>
      <w:r>
        <w:rPr>
          <w:b w:val="0"/>
          <w:i w:val="0"/>
        </w:rPr>
        <w:t xml:space="preserve">, hora de Asunción (America/Asuncion). La respuesta deberá comunicarse por escrito a </w:t>
      </w:r>
      <w:r>
        <w:rPr>
          <w:b w:val="0"/>
          <w:i w:val="0"/>
          <w:highlight w:val="yellow"/>
        </w:rPr>
        <w:t>[PENDIENTE: canal y destinatario de la respuesta]</w:t>
      </w:r>
      <w:r>
        <w:rPr>
          <w:b w:val="0"/>
          <w:i w:val="0"/>
        </w:rPr>
        <w:t>. Vencido ese plazo sin respuesta, la oferta quedará sin efecto.</w:t>
      </w:r>
    </w:p>
    <w:p>
      <w:pPr>
        <w:keepNext/>
        <w:spacing w:after="60" w:before="160"/>
      </w:pPr>
      <w:r>
        <w:rPr>
          <w:rFonts w:ascii="Cambria" w:hAnsi="Cambria"/>
          <w:b w:val="0"/>
          <w:i w:val="0"/>
          <w:color w:val="14313A"/>
          <w:sz w:val="25"/>
        </w:rPr>
        <w:t>6. Intervención comercial</w:t>
      </w:r>
    </w:p>
    <w:p>
      <w:r>
        <w:rPr>
          <w:b w:val="0"/>
          <w:i w:val="0"/>
        </w:rPr>
        <w:t>Esta oferta es presentada a la parte vendedora por Meridiano Capital, que interviene como inmobiliaria captadora del lado de la parte vendedora, a través de su agente Juan José Castillo. La oferente fue presentada por Supremo EAS, que interviene como inmobiliaria colocadora a través de su agente Mario Luis Dávalos Díaz. Ninguna de las inmobiliarias intervinientes está facultada, por su sola intervención, para aceptar esta oferta en nombre de la parte vendedora, firmar por la oferente ni recibir fondos.</w:t>
      </w:r>
    </w:p>
    <w:p>
      <w:pPr>
        <w:keepNext/>
        <w:spacing w:after="60" w:before="160"/>
      </w:pPr>
      <w:r>
        <w:rPr>
          <w:rFonts w:ascii="Cambria" w:hAnsi="Cambria"/>
          <w:b w:val="0"/>
          <w:i w:val="0"/>
          <w:color w:val="14313A"/>
          <w:sz w:val="25"/>
        </w:rPr>
        <w:t>7. Naturaleza y alcance de la oferta</w:t>
      </w:r>
    </w:p>
    <w:p>
      <w:r>
        <w:rPr>
          <w:b w:val="0"/>
          <w:i w:val="0"/>
          <w:highlight w:val="yellow"/>
        </w:rPr>
        <w:t>[PENDIENTE: definir el efecto de la aceptación — p. ej., propuesta preliminar sujeta a la firma de un boleto de compraventa, o compromiso sujeto a condiciones. Requiere confirmación de las partes y revisión jurídica]</w:t>
      </w:r>
    </w:p>
    <w:p>
      <w:pPr>
        <w:spacing w:after="520"/>
      </w:pPr>
      <w:r>
        <w:rPr>
          <w:b w:val="0"/>
          <w:i w:val="0"/>
        </w:rPr>
        <w:t>Sin otro particular, saludo a usted atentamente.</w:t>
      </w:r>
    </w:p>
    <w:p>
      <w:pPr>
        <w:spacing w:after="0"/>
      </w:pPr>
      <w:r>
        <w:rPr>
          <w:b w:val="0"/>
          <w:i w:val="0"/>
        </w:rPr>
        <w:t>______________________________</w:t>
      </w:r>
    </w:p>
    <w:p>
      <w:pPr>
        <w:spacing w:after="0"/>
      </w:pPr>
      <w:r>
        <w:rPr>
          <w:b w:val="0"/>
          <w:i w:val="0"/>
          <w:color w:val="14313A"/>
        </w:rPr>
        <w:t>Ana Liesel Guggiari Niederberger</w:t>
      </w:r>
    </w:p>
    <w:p>
      <w:pPr>
        <w:spacing w:after="0"/>
      </w:pPr>
      <w:r>
        <w:rPr>
          <w:b w:val="0"/>
          <w:i w:val="0"/>
        </w:rPr>
        <w:t>C.I. N° 3.209.470</w:t>
      </w:r>
    </w:p>
    <w:p>
      <w:pPr>
        <w:spacing w:after="0"/>
      </w:pPr>
      <w:r>
        <w:rPr>
          <w:b w:val="0"/>
          <w:i w:val="0"/>
        </w:rPr>
        <w:t>Oferente</w:t>
      </w:r>
    </w:p>
    <w:p>
      <w:pPr>
        <w:pageBreakBefore/>
        <w:spacing w:after="40"/>
      </w:pPr>
      <w:r>
        <w:rPr>
          <w:rFonts w:ascii="Cambria" w:hAnsi="Cambria"/>
          <w:b w:val="0"/>
          <w:i w:val="0"/>
          <w:color w:val="14313A"/>
          <w:sz w:val="26"/>
        </w:rPr>
        <w:t>Constancia de recepción</w:t>
      </w:r>
    </w:p>
    <w:p>
      <w:pPr>
        <w:pBdr>
          <w:bottom w:val="single" w:sz="6" w:color="DAD2C0"/>
        </w:pBdr>
        <w:spacing w:after="120"/>
      </w:pPr>
    </w:p>
    <w:p>
      <w:r>
        <w:rPr>
          <w:b w:val="0"/>
          <w:i w:val="0"/>
          <w:sz w:val="20"/>
        </w:rPr>
        <w:t>Recibí copia de esta oferta. Esta constancia acredita únicamente la recepción y no implica aceptación.</w:t>
      </w:r>
    </w:p>
    <w:tbl>
      <w:tblPr>
        <w:tblW w:type="auto" w:w="0"/>
        <w:jc w:val="center"/>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Pr>
      <w:tblGrid>
        <w:gridCol w:w="4592"/>
        <w:gridCol w:w="4592"/>
      </w:tblGrid>
      <w:tr>
        <w:trPr>
          <w:cantSplit/>
        </w:trPr>
        <w:tc>
          <w:tcPr>
            <w:tcW w:type="dxa" w:w="2948"/>
            <w:shd w:val="clear" w:color="auto" w:fill="F7F4EE"/>
          </w:tcPr>
          <w:p>
            <w:pPr>
              <w:keepNext/>
              <w:spacing w:after="20"/>
            </w:pPr>
            <w:r>
              <w:rPr>
                <w:b/>
                <w:i w:val="0"/>
                <w:color w:val="14313A"/>
                <w:sz w:val="19"/>
              </w:rPr>
              <w:t>Fecha y hora de recepción</w:t>
            </w:r>
          </w:p>
        </w:tc>
        <w:tc>
          <w:tcPr>
            <w:tcW w:type="dxa" w:w="6236"/>
            <w:shd w:val="clear" w:color="auto" w:fill="F7F4EE"/>
          </w:tcPr>
          <w:p>
            <w:pPr>
              <w:keepNext/>
              <w:spacing w:after="20"/>
            </w:pPr>
            <w:r>
              <w:rPr>
                <w:b w:val="0"/>
                <w:i w:val="0"/>
                <w:sz w:val="19"/>
              </w:rPr>
              <w:t>____ / ____ / 2026  ·  ____ : ____ hs (hora de Asunción)</w:t>
            </w:r>
          </w:p>
        </w:tc>
      </w:tr>
      <w:tr>
        <w:trPr>
          <w:cantSplit/>
        </w:trPr>
        <w:tc>
          <w:tcPr>
            <w:tcW w:type="dxa" w:w="2948"/>
          </w:tcPr>
          <w:p>
            <w:pPr>
              <w:keepNext/>
              <w:spacing w:after="20"/>
            </w:pPr>
            <w:r>
              <w:rPr>
                <w:b/>
                <w:i w:val="0"/>
                <w:color w:val="14313A"/>
                <w:sz w:val="19"/>
              </w:rPr>
              <w:t>Firma</w:t>
            </w:r>
          </w:p>
        </w:tc>
        <w:tc>
          <w:tcPr>
            <w:tcW w:type="dxa" w:w="6236"/>
          </w:tcPr>
          <w:p>
            <w:pPr>
              <w:keepNext/>
              <w:spacing w:after="20"/>
            </w:pPr>
          </w:p>
        </w:tc>
      </w:tr>
      <w:tr>
        <w:trPr>
          <w:cantSplit/>
        </w:trPr>
        <w:tc>
          <w:tcPr>
            <w:tcW w:type="dxa" w:w="2948"/>
            <w:shd w:val="clear" w:color="auto" w:fill="F7F4EE"/>
          </w:tcPr>
          <w:p>
            <w:pPr>
              <w:keepNext w:val="0"/>
              <w:spacing w:after="20"/>
            </w:pPr>
            <w:r>
              <w:rPr>
                <w:b/>
                <w:i w:val="0"/>
                <w:color w:val="14313A"/>
                <w:sz w:val="19"/>
              </w:rPr>
              <w:t>Aclaración y documento</w:t>
            </w:r>
          </w:p>
        </w:tc>
        <w:tc>
          <w:tcPr>
            <w:tcW w:type="dxa" w:w="6236"/>
            <w:shd w:val="clear" w:color="auto" w:fill="F7F4EE"/>
          </w:tcPr>
          <w:p>
            <w:pPr>
              <w:keepNext w:val="0"/>
              <w:spacing w:after="20"/>
            </w:pPr>
          </w:p>
        </w:tc>
      </w:tr>
    </w:tbl>
    <w:p>
      <w:pPr>
        <w:spacing w:after="40"/>
      </w:pPr>
    </w:p>
    <w:p>
      <w:pPr>
        <w:spacing w:after="40" w:before="200"/>
      </w:pPr>
      <w:r>
        <w:rPr>
          <w:rFonts w:ascii="Cambria" w:hAnsi="Cambria"/>
          <w:b w:val="0"/>
          <w:i w:val="0"/>
          <w:color w:val="14313A"/>
          <w:sz w:val="26"/>
        </w:rPr>
        <w:t>Respuesta de la parte vendedora</w:t>
      </w:r>
    </w:p>
    <w:p>
      <w:pPr>
        <w:pBdr>
          <w:bottom w:val="single" w:sz="6" w:color="DAD2C0"/>
        </w:pBdr>
        <w:spacing w:after="120"/>
      </w:pPr>
    </w:p>
    <w:p>
      <w:r>
        <w:rPr>
          <w:b w:val="0"/>
          <w:i w:val="0"/>
          <w:sz w:val="20"/>
        </w:rPr>
        <w:t>Marcar una sola opción:</w:t>
      </w:r>
    </w:p>
    <w:p>
      <w:pPr>
        <w:spacing w:after="60"/>
      </w:pPr>
      <w:r>
        <w:rPr>
          <w:b w:val="0"/>
          <w:i w:val="0"/>
        </w:rPr>
        <w:t>☐  Acepto íntegramente la oferta en los términos de esta carta.</w:t>
      </w:r>
    </w:p>
    <w:p>
      <w:pPr>
        <w:spacing w:after="60"/>
      </w:pPr>
      <w:r>
        <w:rPr>
          <w:b w:val="0"/>
          <w:i w:val="0"/>
        </w:rPr>
        <w:t>☐  Rechazo la oferta.</w:t>
      </w:r>
    </w:p>
    <w:p>
      <w:pPr>
        <w:spacing w:after="60"/>
      </w:pPr>
      <w:r>
        <w:rPr>
          <w:b w:val="0"/>
          <w:i w:val="0"/>
        </w:rPr>
        <w:t>☐  Formulo la siguiente contraoferta (una contraoferta no implica aceptación de los términos originales):</w:t>
      </w:r>
    </w:p>
    <w:tbl>
      <w:tblPr>
        <w:tblW w:type="auto" w:w="0"/>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Pr>
      <w:tblGrid>
        <w:gridCol w:w="9184"/>
      </w:tblGrid>
      <w:tr>
        <w:trPr>
          <w:trHeight w:val="1701"/>
        </w:trPr>
        <w:tc>
          <w:tcPr>
            <w:tcW w:type="dxa" w:w="9184"/>
          </w:tcPr>
          <w:p/>
        </w:tc>
      </w:tr>
    </w:tbl>
    <w:p>
      <w:pPr>
        <w:spacing w:after="40"/>
      </w:pPr>
    </w:p>
    <w:p>
      <w:r>
        <w:rPr>
          <w:b w:val="0"/>
          <w:i w:val="0"/>
          <w:sz w:val="20"/>
        </w:rPr>
        <w:t xml:space="preserve">En caso de aceptación, la parte vendedora reconoce la intervención de Meridiano Capital y de Supremo EAS en esta operación y asume el pago de la comisión de intermediación del cinco coma cinco por ciento (5,5 %) sobre el precio de venta </w:t>
      </w:r>
      <w:r>
        <w:rPr>
          <w:b w:val="0"/>
          <w:i w:val="0"/>
          <w:sz w:val="20"/>
          <w:highlight w:val="yellow"/>
        </w:rPr>
        <w:t>[PENDIENTE: IVA incluido o adicional]</w:t>
      </w:r>
      <w:r>
        <w:rPr>
          <w:b w:val="0"/>
          <w:i w:val="0"/>
          <w:sz w:val="20"/>
        </w:rPr>
        <w:t xml:space="preserve">, exigible </w:t>
      </w:r>
      <w:r>
        <w:rPr>
          <w:b w:val="0"/>
          <w:i w:val="0"/>
          <w:sz w:val="20"/>
          <w:highlight w:val="yellow"/>
        </w:rPr>
        <w:t>[PENDIENTE: momento de exigibilidad, p. ej. a la firma de la escritura]</w:t>
      </w:r>
      <w:r>
        <w:rPr>
          <w:b w:val="0"/>
          <w:i w:val="0"/>
          <w:sz w:val="20"/>
        </w:rPr>
        <w:t>, así como el impuesto a las transacciones y el IVA que correspondan a la venta.</w:t>
      </w:r>
    </w:p>
    <w:tbl>
      <w:tblPr>
        <w:tblW w:type="auto" w:w="0"/>
        <w:jc w:val="center"/>
        <w:tblLook w:firstColumn="1" w:firstRow="1" w:lastColumn="0" w:lastRow="0" w:noHBand="0" w:noVBand="1" w:val="04A0"/>
        <w:tblBorders>
          <w:top w:val="single" w:sz="4" w:color="DAD2C0"/>
          <w:left w:val="single" w:sz="4" w:color="DAD2C0"/>
          <w:bottom w:val="single" w:sz="4" w:color="DAD2C0"/>
          <w:right w:val="single" w:sz="4" w:color="DAD2C0"/>
          <w:insideH w:val="single" w:sz="4" w:color="DAD2C0"/>
          <w:insideV w:val="single" w:sz="4" w:color="DAD2C0"/>
        </w:tblBorders>
      </w:tblPr>
      <w:tblGrid>
        <w:gridCol w:w="4592"/>
        <w:gridCol w:w="4592"/>
      </w:tblGrid>
      <w:tr>
        <w:trPr>
          <w:cantSplit/>
        </w:trPr>
        <w:tc>
          <w:tcPr>
            <w:tcW w:type="dxa" w:w="2948"/>
            <w:shd w:val="clear" w:color="auto" w:fill="F7F4EE"/>
          </w:tcPr>
          <w:p>
            <w:pPr>
              <w:keepNext/>
              <w:spacing w:after="20"/>
            </w:pPr>
            <w:r>
              <w:rPr>
                <w:b/>
                <w:i w:val="0"/>
                <w:color w:val="14313A"/>
                <w:sz w:val="19"/>
              </w:rPr>
              <w:t>Firma parte vendedora</w:t>
            </w:r>
          </w:p>
        </w:tc>
        <w:tc>
          <w:tcPr>
            <w:tcW w:type="dxa" w:w="6236"/>
            <w:shd w:val="clear" w:color="auto" w:fill="F7F4EE"/>
          </w:tcPr>
          <w:p>
            <w:pPr>
              <w:keepNext/>
              <w:spacing w:after="20"/>
            </w:pPr>
          </w:p>
        </w:tc>
      </w:tr>
      <w:tr>
        <w:trPr>
          <w:cantSplit/>
        </w:trPr>
        <w:tc>
          <w:tcPr>
            <w:tcW w:type="dxa" w:w="2948"/>
          </w:tcPr>
          <w:p>
            <w:pPr>
              <w:keepNext/>
              <w:spacing w:after="20"/>
            </w:pPr>
            <w:r>
              <w:rPr>
                <w:b/>
                <w:i w:val="0"/>
                <w:color w:val="14313A"/>
                <w:sz w:val="19"/>
              </w:rPr>
              <w:t>Aclaración y documento</w:t>
            </w:r>
          </w:p>
        </w:tc>
        <w:tc>
          <w:tcPr>
            <w:tcW w:type="dxa" w:w="6236"/>
          </w:tcPr>
          <w:p>
            <w:pPr>
              <w:keepNext/>
              <w:spacing w:after="20"/>
            </w:pPr>
          </w:p>
        </w:tc>
      </w:tr>
      <w:tr>
        <w:trPr>
          <w:cantSplit/>
        </w:trPr>
        <w:tc>
          <w:tcPr>
            <w:tcW w:type="dxa" w:w="2948"/>
            <w:shd w:val="clear" w:color="auto" w:fill="F7F4EE"/>
          </w:tcPr>
          <w:p>
            <w:pPr>
              <w:keepNext/>
              <w:spacing w:after="20"/>
            </w:pPr>
            <w:r>
              <w:rPr>
                <w:b/>
                <w:i w:val="0"/>
                <w:color w:val="14313A"/>
                <w:sz w:val="19"/>
              </w:rPr>
              <w:t>Asentimiento conyugal o representante</w:t>
            </w:r>
          </w:p>
        </w:tc>
        <w:tc>
          <w:tcPr>
            <w:tcW w:type="dxa" w:w="6236"/>
            <w:shd w:val="clear" w:color="auto" w:fill="F7F4EE"/>
          </w:tcPr>
          <w:p>
            <w:pPr>
              <w:keepNext/>
              <w:spacing w:after="20"/>
            </w:pPr>
            <w:r>
              <w:rPr>
                <w:b w:val="0"/>
                <w:i w:val="0"/>
                <w:sz w:val="19"/>
                <w:highlight w:val="yellow"/>
              </w:rPr>
              <w:t>[PENDIENTE: si corresponde]</w:t>
            </w:r>
          </w:p>
        </w:tc>
      </w:tr>
      <w:tr>
        <w:trPr>
          <w:cantSplit/>
        </w:trPr>
        <w:tc>
          <w:tcPr>
            <w:tcW w:type="dxa" w:w="2948"/>
          </w:tcPr>
          <w:p>
            <w:pPr>
              <w:keepNext w:val="0"/>
              <w:spacing w:after="20"/>
            </w:pPr>
            <w:r>
              <w:rPr>
                <w:b/>
                <w:i w:val="0"/>
                <w:color w:val="14313A"/>
                <w:sz w:val="19"/>
              </w:rPr>
              <w:t>Fecha y hora</w:t>
            </w:r>
          </w:p>
        </w:tc>
        <w:tc>
          <w:tcPr>
            <w:tcW w:type="dxa" w:w="6236"/>
          </w:tcPr>
          <w:p>
            <w:pPr>
              <w:keepNext w:val="0"/>
              <w:spacing w:after="20"/>
            </w:pPr>
            <w:r>
              <w:rPr>
                <w:b w:val="0"/>
                <w:i w:val="0"/>
                <w:sz w:val="19"/>
              </w:rPr>
              <w:t>____ / ____ / 2026  ·  ____ : ____ hs (hora de Asunción)</w:t>
            </w:r>
          </w:p>
        </w:tc>
      </w:tr>
    </w:tbl>
    <w:p>
      <w:pPr>
        <w:spacing w:after="40"/>
      </w:pP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6154"/>
        <w:sz w:val="16"/>
      </w:rPr>
      <w:t>Meridiano Capital · HERRERA-002-OF01 · Borrador incompleto ·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