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  <w:jc w:val="center"/>
      </w:pPr>
      <w:r>
        <w:drawing>
          <wp:inline distT="0" distB="0" distL="0" distR="0">
            <wp:extent cx="4000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80"/>
        <w:jc w:val="center"/>
      </w:pPr>
      <w:r>
        <w:rPr>
          <w:rFonts w:ascii="Poppins" w:cs="Poppins" w:eastAsia="Poppins" w:hAnsi="Poppins"/>
          <w:b/>
          <w:bCs/>
          <w:color w:val="2A2620"/>
          <w:spacing w:val="60"/>
          <w:sz w:val="22"/>
          <w:szCs w:val="22"/>
        </w:rPr>
        <w:t xml:space="preserve">URBANNIT</w:t>
      </w:r>
    </w:p>
    <w:p>
      <w:pPr>
        <w:spacing w:after="26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gestionado por Meridiano Capital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2A2620"/>
          <w:sz w:val="23"/>
          <w:szCs w:val="23"/>
        </w:rPr>
        <w:t xml:space="preserve">ANEXO — TARIFAS Y COMISIONES</w:t>
      </w:r>
    </w:p>
    <w:p>
      <w:pPr>
        <w:spacing w:after="30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URB-CON-003 · versión 1.0 (borrador) · Anexo integrante del Contrato de Administración de Alquiler Temporal (URB-CON-001)</w:t>
      </w:r>
    </w:p>
    <w:p>
      <w:pPr>
        <w:spacing w:after="260"/>
        <w:jc w:val="both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Este Anexo resume, en un solo lugar, todos los costos y comisiones aplicables a la gestión del inmueble ubicado en [DIRECCIÓN COMPLETA], Asunción, en el marco del contrato entre [NOMBRE DEL PROPIETARIO] (EL PROPIETARIO) y Campo Agreste S.A. — RUC 80093513-6 (URBANNIT), de fecha [FECHA]. No modifica ni reemplaza ninguna cláusula del contrato principal — solo la consolida para consulta rápida.</w:t>
      </w:r>
    </w:p>
    <w:p>
      <w:pPr>
        <w:keepNext/>
        <w:spacing w:after="100" w:before="28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Resumen de costos y comisiones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2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Monto / base</w:t>
            </w:r>
          </w:p>
        </w:tc>
        <w:tc>
          <w:tcPr>
            <w:tcW w:type="dxa" w:w="22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A cargo de</w:t>
            </w:r>
          </w:p>
        </w:tc>
        <w:tc>
          <w:tcPr>
            <w:tcW w:type="dxa" w:w="20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Cláusula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Honorarios de administración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20% IVA incluido, sobre el bruto de ocupación mensual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EL PROPIETARIO (se descuenta en la liquidación mensual)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Cláusula 4.1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Tarifa de limpieza entre estadías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Aprox. 20–30 USD por estadía (informativo — el monto exacto se fija en la reserva)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EL HUÉSPED (no reduce el ingreso del propietario)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Cláusula 4.4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Reposición de blanquería/utensilios dañados o perdidos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Según costo real, con detalle e informe de URBANNIT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EL PROPIETARIO (descontado de la siguiente liquidación) — salvo reclamo al huésped responsable o cobertura del seguro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Cláusula 6.3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Seguro de responsabilidad civil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[MONTO — PENDIENTE DE DEFINIR, ver Cláusula Novena]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EL PROPIETARIO (reembolsa a URBANNIT)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Cláusula 9.2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Registro SENATUR / Registur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No aplica por el momento — el inmueble no se inscribe en esta etapa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N/A (decisión operativa, D-059)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keepNext/>
        <w:spacing w:after="100" w:before="28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Ejemplo ilustrativo de liquidación</w:t>
      </w:r>
    </w:p>
    <w:p>
      <w:pPr>
        <w:spacing w:after="100"/>
      </w:pPr>
      <w:r>
        <w:rPr>
          <w:rFonts w:ascii="Poppins" w:cs="Poppins" w:eastAsia="Poppins" w:hAnsi="Poppins"/>
          <w:color w:val="2A2620"/>
          <w:sz w:val="17"/>
          <w:szCs w:val="17"/>
        </w:rPr>
        <w:t xml:space="preserve">Mismo ejemplo ya utilizado en la Propuesta de Gestión de Alquiler Temporal, con números simples para ilustrar la mecánica: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3600"/>
            <w:shd w:fill="A87D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Precio por noche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70 USD</w:t>
            </w:r>
          </w:p>
        </w:tc>
      </w:tr>
      <w:tr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Noches ocupadas en el mes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Total generado (70 × 20)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1.400 USD</w:t>
            </w:r>
          </w:p>
        </w:tc>
      </w:tr>
      <w:tr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Comisión de la plataforma (Airbnb, aprox. 3%)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− 42 USD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Después de la plataforma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1.358 USD</w:t>
            </w:r>
          </w:p>
        </w:tc>
      </w:tr>
      <w:tr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Comisión de URBANNIT (20% sobre 70 USD × 20 noches)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− 280 USD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7"/>
                <w:szCs w:val="17"/>
              </w:rPr>
              <w:t xml:space="preserve">Ingreso neto del PROPIETARIO en el mes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7"/>
                <w:szCs w:val="17"/>
              </w:rPr>
              <w:t xml:space="preserve">1.078 USD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r>
        <w:rPr>
          <w:rFonts w:ascii="Poppins" w:cs="Poppins" w:eastAsia="Poppins" w:hAnsi="Poppins"/>
          <w:i/>
          <w:iCs/>
          <w:color w:val="6B6154"/>
          <w:sz w:val="15"/>
          <w:szCs w:val="15"/>
        </w:rPr>
        <w:t xml:space="preserve">Cifra ilustrativa, no constituye garantía de rentabilidad. No incluye eventuales descuentos por reposición de blanquería/utensilios ni seguro, que se liquidan aparte si corresponden.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154"/>
        <w:sz w:val="14"/>
        <w:szCs w:val="14"/>
      </w:rPr>
      <w:t xml:space="preserve">Borrador · Anexo de URB-CON-001 · Página </w:t>
    </w:r>
    <w:r>
      <w:rPr>
        <w:rFonts w:ascii="Poppins" w:cs="Poppins" w:eastAsia="Poppins" w:hAnsi="Poppins"/>
        <w:color w:val="6B615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B6154"/>
        <w:sz w:val="14"/>
        <w:szCs w:val="14"/>
      </w:rPr>
      <w:t xml:space="preserve">URBANNIT — gestionado por Meridiano Capital · Anexo — Tarifas y Comisiones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A262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3f003658057098a27c4d8d1d07d358977e3a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— Tarifas y Comisiones (borrador URB-CON-003)</dc:title>
  <dc:creator>Urbannit — gestionado por Meridiano Capital</dc:creator>
  <cp:lastModifiedBy>Un-named</cp:lastModifiedBy>
  <cp:revision>1</cp:revision>
  <dcterms:created xsi:type="dcterms:W3CDTF">2026-08-12T19:30:08.185Z</dcterms:created>
  <dcterms:modified xsi:type="dcterms:W3CDTF">2026-08-12T19:30:08.188Z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