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  <w:jc w:val="center"/>
      </w:pPr>
      <w:r>
        <w:drawing>
          <wp:inline distT="0" distB="0" distL="0" distR="0">
            <wp:extent cx="4000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80"/>
        <w:jc w:val="center"/>
      </w:pPr>
      <w:r>
        <w:rPr>
          <w:rFonts w:ascii="Poppins" w:cs="Poppins" w:eastAsia="Poppins" w:hAnsi="Poppins"/>
          <w:b/>
          <w:bCs/>
          <w:color w:val="2A2620"/>
          <w:spacing w:val="60"/>
          <w:sz w:val="22"/>
          <w:szCs w:val="22"/>
        </w:rPr>
        <w:t xml:space="preserve">URBANNIT</w:t>
      </w:r>
    </w:p>
    <w:p>
      <w:pPr>
        <w:spacing w:after="26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gestionado por Meridiano Capital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2A2620"/>
          <w:sz w:val="23"/>
          <w:szCs w:val="23"/>
        </w:rPr>
        <w:t xml:space="preserve">LIQUIDACIÓN MENSUAL AL PROPIETARIO</w:t>
      </w:r>
    </w:p>
    <w:p>
      <w:pPr>
        <w:spacing w:after="300"/>
        <w:jc w:val="center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URB-REP-001 · versión 1.0 (borrador) · Conforme a la Cláusula 4.2 del Contrato de Administración de Alquiler Temporal (URB-CON-001)</w:t>
      </w:r>
    </w:p>
    <w:p>
      <w:pPr>
        <w:keepNext/>
        <w:spacing w:after="100" w:before="28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Datos del período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Propietario</w:t>
            </w:r>
          </w:p>
        </w:tc>
        <w:tc>
          <w:tcPr>
            <w:tcW w:type="dxa" w:w="2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[NOMBRE DEL PROPIETARIO]</w:t>
            </w:r>
          </w:p>
        </w:tc>
        <w:tc>
          <w:tcPr>
            <w:tcW w:type="dxa" w:w="225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Inmueble</w:t>
            </w:r>
          </w:p>
        </w:tc>
        <w:tc>
          <w:tcPr>
            <w:tcW w:type="dxa" w:w="2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[DIRECCIÓN]</w:t>
            </w:r>
          </w:p>
        </w:tc>
      </w:tr>
      <w:tr>
        <w:tc>
          <w:tcPr>
            <w:tcW w:type="dxa" w:w="225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Período liquidado</w:t>
            </w:r>
          </w:p>
        </w:tc>
        <w:tc>
          <w:tcPr>
            <w:tcW w:type="dxa" w:w="2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[MES / AÑO]</w:t>
            </w:r>
          </w:p>
        </w:tc>
        <w:tc>
          <w:tcPr>
            <w:tcW w:type="dxa" w:w="225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Fecha de emisión</w:t>
            </w:r>
          </w:p>
        </w:tc>
        <w:tc>
          <w:tcPr>
            <w:tcW w:type="dxa" w:w="2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[FECHA]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keepNext/>
        <w:spacing w:after="100" w:before="28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Detalle de reservas del período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1300"/>
        <w:gridCol w:w="1300"/>
        <w:gridCol w:w="1300"/>
        <w:gridCol w:w="1300"/>
        <w:gridCol w:w="1400"/>
        <w:gridCol w:w="1400"/>
        <w:gridCol w:w="1300"/>
      </w:tblGrid>
      <w:tr>
        <w:trPr>
          <w:tblHeader/>
        </w:trPr>
        <w:tc>
          <w:tcPr>
            <w:tcW w:type="dxa" w:w="13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Check-in</w:t>
            </w:r>
          </w:p>
        </w:tc>
        <w:tc>
          <w:tcPr>
            <w:tcW w:type="dxa" w:w="13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Check-out</w:t>
            </w:r>
          </w:p>
        </w:tc>
        <w:tc>
          <w:tcPr>
            <w:tcW w:type="dxa" w:w="13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Plataforma</w:t>
            </w:r>
          </w:p>
        </w:tc>
        <w:tc>
          <w:tcPr>
            <w:tcW w:type="dxa" w:w="13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Noches</w:t>
            </w:r>
          </w:p>
        </w:tc>
        <w:tc>
          <w:tcPr>
            <w:tcW w:type="dxa" w:w="14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Tarifa/noche</w:t>
            </w:r>
          </w:p>
        </w:tc>
        <w:tc>
          <w:tcPr>
            <w:tcW w:type="dxa" w:w="14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Total estadía</w:t>
            </w:r>
          </w:p>
        </w:tc>
        <w:tc>
          <w:tcPr>
            <w:tcW w:type="dxa" w:w="13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Tarifa limpieza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/>
            </w:r>
          </w:p>
        </w:tc>
      </w:tr>
    </w:tbl>
    <w:p>
      <w:pPr>
        <w:spacing w:after="220" w:before="80"/>
      </w:pPr>
      <w:r>
        <w:rPr>
          <w:rFonts w:ascii="Poppins" w:cs="Poppins" w:eastAsia="Poppins" w:hAnsi="Poppins"/>
          <w:i/>
          <w:iCs/>
          <w:color w:val="6B6154"/>
          <w:sz w:val="14"/>
          <w:szCs w:val="14"/>
        </w:rPr>
        <w:t xml:space="preserve">La tarifa de limpieza es un cargo al huésped y no forma parte de la base de cálculo de la comisión (Cláusula 4.4 de URB-CON-001) — se incluye en esta tabla solo a título informativo.</w:t>
      </w:r>
    </w:p>
    <w:p>
      <w:pPr>
        <w:keepNext/>
        <w:spacing w:after="100" w:before="280"/>
      </w:pPr>
      <w:r>
        <w:rPr>
          <w:rFonts w:ascii="Poppins" w:cs="Poppins" w:eastAsia="Poppins" w:hAnsi="Poppins"/>
          <w:b/>
          <w:bCs/>
          <w:color w:val="A87D22"/>
          <w:sz w:val="21"/>
          <w:szCs w:val="21"/>
        </w:rPr>
        <w:t xml:space="preserve">Resumen de la liquidación</w:t>
      </w:r>
    </w:p>
    <w:tbl>
      <w:tblPr>
        <w:tblW w:type="dxa" w:w="9000"/>
        <w:tblBorders>
          <w:top w:val="single" w:color="D8CDB8" w:sz="4"/>
          <w:left w:val="single" w:color="D8CDB8" w:sz="4"/>
          <w:bottom w:val="single" w:color="D8CDB8" w:sz="4"/>
          <w:right w:val="single" w:color="D8CDB8" w:sz="4"/>
          <w:insideH w:val="single" w:color="D8CDB8" w:sz="4"/>
          <w:insideV w:val="single" w:color="D8CDB8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3600"/>
            <w:shd w:fill="A87D2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Monto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Total generado por ocupación (bruto)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[MONTO]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Comisión de la(s) plataforma(s) de reserva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− [MONTO]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Honorarios de URBANNIT (20% IVA incluido, Cláusula 4.1)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− [MONTO]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Reposición de blanquería/utensilios (si corresponde, Cláusula 6.3)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− [MONTO]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Otros gastos del inmueble a cargo del PROPIETARIO (detallar)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6"/>
                <w:szCs w:val="16"/>
              </w:rPr>
              <w:t xml:space="preserve">− [MONTO]</w:t>
            </w:r>
          </w:p>
        </w:tc>
      </w:tr>
      <w:tr>
        <w:tc>
          <w:tcPr>
            <w:tcW w:type="dxa" w:w="54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Importe neto transferido al PROPIETARIO</w:t>
            </w:r>
          </w:p>
        </w:tc>
        <w:tc>
          <w:tcPr>
            <w:tcW w:type="dxa" w:w="3600"/>
            <w:shd w:fill="F1E8D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A2620"/>
                <w:sz w:val="16"/>
                <w:szCs w:val="16"/>
              </w:rPr>
              <w:t xml:space="preserve">[MONTO]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rFonts w:ascii="Poppins" w:cs="Poppins" w:eastAsia="Poppins" w:hAnsi="Poppins"/>
          <w:color w:val="2A2620"/>
          <w:sz w:val="17"/>
          <w:szCs w:val="17"/>
        </w:rPr>
        <w:t xml:space="preserve">Comprobantes de respaldo adjuntos: [SÍ / NO — detallar cuáles]</w:t>
      </w:r>
    </w:p>
    <w:p>
      <w:pPr>
        <w:spacing w:after="260"/>
      </w:pPr>
      <w:r>
        <w:rPr>
          <w:rFonts w:ascii="Poppins" w:cs="Poppins" w:eastAsia="Poppins" w:hAnsi="Poppins"/>
          <w:color w:val="2A2620"/>
          <w:sz w:val="17"/>
          <w:szCs w:val="17"/>
        </w:rPr>
        <w:t xml:space="preserve">Transferencia realizada a: [CUENTA BANCARIA INFORMADA POR EL PROPIETARIO], con fecha [FECHA].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Poppins" w:cs="Poppins" w:eastAsia="Poppins" w:hAnsi="Poppins"/>
                <w:color w:val="6B6154"/>
                <w:sz w:val="16"/>
                <w:szCs w:val="16"/>
              </w:rPr>
              <w:t xml:space="preserve">Preparado por: ______________________</w:t>
            </w:r>
          </w:p>
        </w:tc>
        <w:tc>
          <w:tcPr>
            <w:tcW w:type="dxa" w:w="4500"/>
          </w:tcPr>
          <w:p>
            <w:r>
              <w:rPr>
                <w:rFonts w:ascii="Poppins" w:cs="Poppins" w:eastAsia="Poppins" w:hAnsi="Poppins"/>
                <w:color w:val="6B6154"/>
                <w:sz w:val="16"/>
                <w:szCs w:val="16"/>
              </w:rPr>
              <w:t xml:space="preserve">Revisado por: 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154"/>
        <w:sz w:val="14"/>
        <w:szCs w:val="14"/>
      </w:rPr>
      <w:t xml:space="preserve">Formato interno · Página </w:t>
    </w:r>
    <w:r>
      <w:rPr>
        <w:rFonts w:ascii="Poppins" w:cs="Poppins" w:eastAsia="Poppins" w:hAnsi="Poppins"/>
        <w:color w:val="6B615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B6154"/>
        <w:sz w:val="14"/>
        <w:szCs w:val="14"/>
      </w:rPr>
      <w:t xml:space="preserve">URBANNIT — gestionado por Meridiano Capital · Liquidación Mensual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A262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3f003658057098a27c4d8d1d07d358977e3a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Liquidación Mensual al Propietario (formato URB-REP-001)</dc:title>
  <dc:creator>Urbannit — gestionado por Meridiano Capital</dc:creator>
  <cp:lastModifiedBy>Un-named</cp:lastModifiedBy>
  <cp:revision>1</cp:revision>
  <dcterms:created xsi:type="dcterms:W3CDTF">2026-08-12T19:30:08.816Z</dcterms:created>
  <dcterms:modified xsi:type="dcterms:W3CDTF">2026-08-12T19:30:08.819Z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