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 cy="609600"/>
                    </a:xfrm>
                    <a:prstGeom prst="rect">
                      <a:avLst/>
                    </a:prstGeom>
                  </pic:spPr>
                </pic:pic>
              </a:graphicData>
            </a:graphic>
          </wp:inline>
        </w:drawing>
      </w:r>
    </w:p>
    <w:p>
      <w:pPr>
        <w:spacing w:after="500" w:before="120"/>
        <w:jc w:val="center"/>
      </w:pPr>
      <w:r>
        <w:rPr>
          <w:rFonts w:ascii="Fraunces" w:cs="Fraunces" w:eastAsia="Fraunces" w:hAnsi="Fraunces"/>
          <w:color w:val="14313A"/>
          <w:spacing w:val="60"/>
          <w:sz w:val="28"/>
          <w:szCs w:val="28"/>
        </w:rPr>
        <w:t xml:space="preserve">MERIDIANO CAPITAL</w:t>
      </w:r>
    </w:p>
    <w:p>
      <w:pPr>
        <w:spacing w:after="60"/>
        <w:jc w:val="center"/>
      </w:pPr>
      <w:r>
        <w:rPr>
          <w:rFonts w:ascii="Fraunces" w:cs="Fraunces" w:eastAsia="Fraunces" w:hAnsi="Fraunces"/>
          <w:color w:val="14313A"/>
          <w:sz w:val="40"/>
          <w:szCs w:val="40"/>
        </w:rPr>
        <w:t xml:space="preserve">MEMORÁNDUM DE INVERSIÓN</w:t>
      </w:r>
    </w:p>
    <w:p>
      <w:pPr>
        <w:spacing w:after="260"/>
        <w:jc w:val="center"/>
      </w:pPr>
      <w:r>
        <w:rPr>
          <w:rFonts w:ascii="Poppins" w:cs="Poppins" w:eastAsia="Poppins" w:hAnsi="Poppins"/>
          <w:b/>
          <w:bCs/>
          <w:color w:val="8B3323"/>
          <w:sz w:val="24"/>
          <w:szCs w:val="24"/>
        </w:rPr>
        <w:t xml:space="preserve">Caso HERRERA-001</w:t>
      </w:r>
    </w:p>
    <w:p>
      <w:pPr>
        <w:spacing w:after="60"/>
        <w:jc w:val="center"/>
      </w:pPr>
      <w:r>
        <w:rPr>
          <w:rFonts w:ascii="Poppins" w:cs="Poppins" w:eastAsia="Poppins" w:hAnsi="Poppins"/>
          <w:color w:val="2A2620"/>
          <w:sz w:val="22"/>
          <w:szCs w:val="22"/>
        </w:rPr>
        <w:t xml:space="preserve">Edificio Barrio Herrera / "Edificio 4 de Julio"</w:t>
      </w:r>
    </w:p>
    <w:p>
      <w:pPr>
        <w:spacing w:after="500"/>
        <w:jc w:val="center"/>
      </w:pPr>
      <w:r>
        <w:rPr>
          <w:rFonts w:ascii="Poppins" w:cs="Poppins" w:eastAsia="Poppins" w:hAnsi="Poppins"/>
          <w:color w:val="5A544C"/>
          <w:sz w:val="20"/>
          <w:szCs w:val="20"/>
        </w:rPr>
        <w:t xml:space="preserve">Asunción, Paraguay</w:t>
      </w:r>
    </w:p>
    <w:tbl>
      <w:tblPr>
        <w:tblW w:type="dxa" w:w="6200"/>
        <w:jc w:val="center"/>
        <w:tblBorders>
          <w:top w:val="single" w:color="2E5C3E" w:sz="10"/>
          <w:left w:val="single" w:color="2E5C3E" w:sz="10"/>
          <w:bottom w:val="single" w:color="2E5C3E" w:sz="10"/>
          <w:right w:val="single" w:color="2E5C3E" w:sz="10"/>
          <w:insideH w:val="single" w:color="2E5C3E" w:sz="10"/>
          <w:insideV w:val="single" w:color="2E5C3E" w:sz="10"/>
        </w:tblBorders>
      </w:tblPr>
      <w:tblGrid>
        <w:gridCol w:w="6200"/>
      </w:tblGrid>
      <w:tr>
        <w:tc>
          <w:tcPr>
            <w:tcW w:type="dxa" w:w="6200"/>
            <w:shd w:fill="E7EFE9" w:val="clear"/>
            <w:tcMar>
              <w:top w:type="dxa" w:w="160"/>
              <w:left w:type="dxa" w:w="200"/>
              <w:bottom w:type="dxa" w:w="160"/>
              <w:right w:type="dxa" w:w="200"/>
            </w:tcMar>
          </w:tcPr>
          <w:p>
            <w:pPr>
              <w:spacing w:after="40"/>
              <w:jc w:val="center"/>
            </w:pPr>
            <w:r>
              <w:rPr>
                <w:rFonts w:ascii="Poppins" w:cs="Poppins" w:eastAsia="Poppins" w:hAnsi="Poppins"/>
                <w:b/>
                <w:bCs/>
                <w:color w:val="2E5C3E"/>
                <w:spacing w:val="40"/>
                <w:sz w:val="16"/>
                <w:szCs w:val="16"/>
              </w:rPr>
              <w:t xml:space="preserve">RECOMENDACIÓN</w:t>
            </w:r>
          </w:p>
          <w:p>
            <w:pPr>
              <w:jc w:val="center"/>
            </w:pPr>
            <w:r>
              <w:rPr>
                <w:rFonts w:ascii="Fraunces" w:cs="Fraunces" w:eastAsia="Fraunces" w:hAnsi="Fraunces"/>
                <w:color w:val="2E5C3E"/>
                <w:sz w:val="26"/>
                <w:szCs w:val="26"/>
              </w:rPr>
              <w:t xml:space="preserve">NEGOCIAR / CONDICIONAR</w:t>
            </w:r>
          </w:p>
        </w:tc>
      </w:tr>
    </w:tbl>
    <w:p>
      <w:r>
        <w:br w:type="page"/>
      </w:r>
    </w:p>
    <w:p>
      <w:pPr>
        <w:spacing w:after="600"/>
        <w:jc w:val="right"/>
      </w:pPr>
      <w:r>
        <w:rPr>
          <w:rFonts w:ascii="Poppins" w:cs="Poppins" w:eastAsia="Poppins" w:hAnsi="Poppins"/>
          <w:i/>
          <w:iCs/>
          <w:color w:val="5A544C"/>
          <w:sz w:val="16"/>
          <w:szCs w:val="16"/>
        </w:rPr>
        <w:t xml:space="preserve">Actualizado 2026-08-18 (v3) · Confidencial — uso interno de Meridiano Capital y sus socios</w:t>
      </w:r>
    </w:p>
    <w:p>
      <w:pPr>
        <w:keepNext/>
        <w:spacing w:after="140" w:before="340"/>
      </w:pPr>
      <w:r>
        <w:rPr>
          <w:rFonts w:ascii="Fraunces" w:cs="Fraunces" w:eastAsia="Fraunces" w:hAnsi="Fraunces"/>
          <w:b w:val="false"/>
          <w:bCs w:val="false"/>
          <w:color w:val="A87D22"/>
          <w:sz w:val="30"/>
          <w:szCs w:val="30"/>
        </w:rPr>
        <w:t xml:space="preserve">  </w:t>
      </w:r>
      <w:r>
        <w:rPr>
          <w:rFonts w:ascii="Fraunces" w:cs="Fraunces" w:eastAsia="Fraunces" w:hAnsi="Fraunces"/>
          <w:b w:val="false"/>
          <w:bCs w:val="false"/>
          <w:color w:val="14313A"/>
          <w:sz w:val="30"/>
          <w:szCs w:val="30"/>
        </w:rPr>
        <w:t xml:space="preserve">RECOMENDACIÓN: NEGOCIAR / CONDICIONAR</w:t>
      </w:r>
    </w:p>
    <w:p>
      <w:pPr>
        <w:spacing w:after="120"/>
        <w:jc w:val="both"/>
      </w:pPr>
      <w:r>
        <w:rPr>
          <w:rFonts w:ascii="Poppins" w:cs="Poppins" w:eastAsia="Poppins" w:hAnsi="Poppins"/>
          <w:b w:val="false"/>
          <w:bCs w:val="false"/>
          <w:i w:val="false"/>
          <w:iCs w:val="false"/>
          <w:color w:val="2A2620"/>
          <w:sz w:val="20"/>
          <w:szCs w:val="20"/>
        </w:rPr>
        <w:t xml:space="preserve">No es un "comprar" sin condiciones, ni un "no comprar".</w:t>
      </w:r>
    </w:p>
    <w:tbl>
      <w:tblPr>
        <w:tblW w:type="dxa" w:w="9000"/>
        <w:tblBorders>
          <w:top w:val="single" w:color="2E5C3E" w:sz="8"/>
          <w:left w:val="single" w:color="2E5C3E" w:sz="8"/>
          <w:bottom w:val="single" w:color="2E5C3E" w:sz="8"/>
          <w:right w:val="single" w:color="2E5C3E" w:sz="8"/>
          <w:insideH w:val="single" w:color="2E5C3E" w:sz="8"/>
          <w:insideV w:val="single" w:color="2E5C3E" w:sz="8"/>
        </w:tblBorders>
      </w:tblPr>
      <w:tblGrid>
        <w:gridCol w:w="9000"/>
      </w:tblGrid>
      <w:tr>
        <w:tc>
          <w:tcPr>
            <w:tcW w:type="dxa" w:w="9000"/>
            <w:shd w:fill="E7EFE9" w:val="clear"/>
            <w:tcMar>
              <w:top w:type="dxa" w:w="140"/>
              <w:left w:type="dxa" w:w="200"/>
              <w:bottom w:type="dxa" w:w="140"/>
              <w:right w:type="dxa" w:w="200"/>
            </w:tcMar>
          </w:tcPr>
          <w:p>
            <w:pPr>
              <w:spacing w:after="70"/>
            </w:pPr>
            <w:r>
              <w:rPr>
                <w:rFonts w:ascii="Poppins" w:cs="Poppins" w:eastAsia="Poppins" w:hAnsi="Poppins"/>
                <w:b/>
                <w:bCs/>
                <w:color w:val="2E5C3E"/>
                <w:sz w:val="20"/>
                <w:szCs w:val="20"/>
              </w:rPr>
              <w:t xml:space="preserve">El caso financiero es sólido</w:t>
            </w:r>
          </w:p>
          <w:p>
            <w:pPr>
              <w:jc w:val="both"/>
            </w:pPr>
            <w:r>
              <w:rPr>
                <w:rFonts w:ascii="Poppins" w:cs="Poppins" w:eastAsia="Poppins" w:hAnsi="Poppins"/>
                <w:color w:val="3A342C"/>
                <w:sz w:val="19"/>
                <w:szCs w:val="19"/>
              </w:rPr>
              <w:t xml:space="preserve">En los tres Ángulos analizados, incluso después de recalcular con el costo definitivo (USD 720/m², bajado de USD 750) y descontar el IVA del desarrollador (10% sobre el costo de construcción). El precio de compra ya se validó como favorable frente a múltiples referencias independientes de mercado. El déficit de caja detectado tiene solución viable con dos estructuras de financiamiento concretas. La zona tiene demanda y plusvalía reales, confirmadas por el founder y contrastadas contra fuentes de mercado.</w:t>
            </w:r>
          </w:p>
        </w:tc>
      </w:tr>
    </w:tbl>
    <w:p>
      <w:pPr>
        <w:spacing w:after="80"/>
      </w:pPr>
      <w:r>
        <w:rPr>
          <w:sz w:val="2"/>
          <w:szCs w:val="2"/>
        </w:rPr>
        <w:t xml:space="preserve"/>
      </w:r>
    </w:p>
    <w:tbl>
      <w:tblPr>
        <w:tblW w:type="dxa" w:w="9000"/>
        <w:tblBorders>
          <w:top w:val="single" w:color="9C3B2E" w:sz="8"/>
          <w:left w:val="single" w:color="9C3B2E" w:sz="8"/>
          <w:bottom w:val="single" w:color="9C3B2E" w:sz="8"/>
          <w:right w:val="single" w:color="9C3B2E" w:sz="8"/>
          <w:insideH w:val="single" w:color="9C3B2E" w:sz="8"/>
          <w:insideV w:val="single" w:color="9C3B2E" w:sz="8"/>
        </w:tblBorders>
      </w:tblPr>
      <w:tblGrid>
        <w:gridCol w:w="9000"/>
      </w:tblGrid>
      <w:tr>
        <w:tc>
          <w:tcPr>
            <w:tcW w:type="dxa" w:w="9000"/>
            <w:shd w:fill="F5E6E2" w:val="clear"/>
            <w:tcMar>
              <w:top w:type="dxa" w:w="140"/>
              <w:left w:type="dxa" w:w="200"/>
              <w:bottom w:type="dxa" w:w="140"/>
              <w:right w:type="dxa" w:w="200"/>
            </w:tcMar>
          </w:tcPr>
          <w:p>
            <w:pPr>
              <w:spacing w:after="70"/>
            </w:pPr>
            <w:r>
              <w:rPr>
                <w:rFonts w:ascii="Poppins" w:cs="Poppins" w:eastAsia="Poppins" w:hAnsi="Poppins"/>
                <w:b/>
                <w:bCs/>
                <w:color w:val="9C3B2E"/>
                <w:sz w:val="20"/>
                <w:szCs w:val="20"/>
              </w:rPr>
              <w:t xml:space="preserve">Un solo bloqueante real sigue sin resolver</w:t>
            </w:r>
          </w:p>
          <w:p>
            <w:pPr>
              <w:jc w:val="both"/>
            </w:pPr>
            <w:r>
              <w:rPr>
                <w:rFonts w:ascii="Poppins" w:cs="Poppins" w:eastAsia="Poppins" w:hAnsi="Poppins"/>
                <w:color w:val="3A342C"/>
                <w:sz w:val="19"/>
                <w:szCs w:val="19"/>
              </w:rPr>
              <w:t xml:space="preserve">De los tres bloqueantes de due diligence identificados originalmente, dos ya se resolvieron: identidad del vendedor confirmada (Cristino Silva, mismo titular) y título/gravámenes verificados y en orden. Queda uno solo: la opinión estructural sobre si la estructura ya construida soporta el piso adicional del Ángulo 2. La tensión detectada en la política de precios de venta también quedó resuelta — se comparó cuantitativamente contra la alternativa de precio bajo y la política premium ganó en los cuatro escenarios probados.</w:t>
            </w:r>
          </w:p>
        </w:tc>
      </w:tr>
    </w:tbl>
    <w:p>
      <w:pPr>
        <w:spacing w:after="80"/>
      </w:pPr>
      <w:r>
        <w:rPr>
          <w:sz w:val="2"/>
          <w:szCs w:val="2"/>
        </w:rPr>
        <w:t xml:space="preserve"/>
      </w:r>
    </w:p>
    <w:p>
      <w:pPr>
        <w:spacing w:after="120"/>
        <w:jc w:val="both"/>
      </w:pPr>
      <w:r>
        <w:rPr>
          <w:rFonts w:ascii="Poppins" w:cs="Poppins" w:eastAsia="Poppins" w:hAnsi="Poppins"/>
          <w:b/>
          <w:bCs/>
          <w:i w:val="false"/>
          <w:iCs w:val="false"/>
          <w:color w:val="2A2620"/>
          <w:sz w:val="20"/>
          <w:szCs w:val="20"/>
        </w:rPr>
        <w:t xml:space="preserve">La recomendación es avanzar a la etapa de negociación y cierre condicionado — negociar el precio y los términos finales mientras se resuelve, como condición suspensiva, la opinión estructural del piso adicional.</w:t>
      </w:r>
    </w:p>
    <w:p>
      <w:pPr>
        <w:keepNext/>
        <w:spacing w:after="140" w:before="340"/>
      </w:pPr>
      <w:r>
        <w:rPr>
          <w:rFonts w:ascii="Fraunces" w:cs="Fraunces" w:eastAsia="Fraunces" w:hAnsi="Fraunces"/>
          <w:b w:val="false"/>
          <w:bCs w:val="false"/>
          <w:color w:val="A87D22"/>
          <w:sz w:val="30"/>
          <w:szCs w:val="30"/>
        </w:rPr>
        <w:t xml:space="preserve">1.  </w:t>
      </w:r>
      <w:r>
        <w:rPr>
          <w:rFonts w:ascii="Fraunces" w:cs="Fraunces" w:eastAsia="Fraunces" w:hAnsi="Fraunces"/>
          <w:b w:val="false"/>
          <w:bCs w:val="false"/>
          <w:color w:val="14313A"/>
          <w:sz w:val="30"/>
          <w:szCs w:val="30"/>
        </w:rPr>
        <w:t xml:space="preserve">Resumen ejecutivo</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2800"/>
        <w:gridCol w:w="6200"/>
      </w:tblGrid>
      <w:tr>
        <w:trPr>
          <w:tblHeader/>
        </w:trPr>
        <w:tc>
          <w:tcPr>
            <w:tcW w:type="dxa" w:w="2800"/>
            <w:shd w:fill="14313A" w:val="clear"/>
            <w:tcMar>
              <w:top w:type="dxa" w:w="70"/>
              <w:left w:type="dxa" w:w="120"/>
              <w:bottom w:type="dxa" w:w="70"/>
              <w:right w:type="dxa" w:w="120"/>
            </w:tcMar>
          </w:tcPr>
          <w:p>
            <w:pPr>
              <w:jc w:val="left"/>
            </w:pPr>
            <w:r>
              <w:rPr>
                <w:rFonts w:ascii="Poppins" w:cs="Poppins" w:eastAsia="Poppins" w:hAnsi="Poppins"/>
                <w:b/>
                <w:bCs/>
                <w:color w:val="FFFFFF"/>
                <w:sz w:val="17"/>
                <w:szCs w:val="17"/>
              </w:rPr>
              <w:t xml:space="preserve"/>
            </w:r>
          </w:p>
        </w:tc>
        <w:tc>
          <w:tcPr>
            <w:tcW w:type="dxa" w:w="6200"/>
            <w:shd w:fill="14313A" w:val="clear"/>
            <w:tcMar>
              <w:top w:type="dxa" w:w="70"/>
              <w:left w:type="dxa" w:w="120"/>
              <w:bottom w:type="dxa" w:w="70"/>
              <w:right w:type="dxa" w:w="120"/>
            </w:tcMar>
          </w:tcPr>
          <w:p>
            <w:pPr>
              <w:jc w:val="left"/>
            </w:pPr>
            <w:r>
              <w:rPr>
                <w:rFonts w:ascii="Poppins" w:cs="Poppins" w:eastAsia="Poppins" w:hAnsi="Poppins"/>
                <w:b/>
                <w:bCs/>
                <w:color w:val="FFFFFF"/>
                <w:sz w:val="17"/>
                <w:szCs w:val="17"/>
              </w:rPr>
              <w:t xml:space="preserve"/>
            </w:r>
          </w:p>
        </w:tc>
      </w:tr>
      <w:tr>
        <w:tc>
          <w:tcPr>
            <w:tcW w:type="dxa" w:w="2800"/>
            <w:tcMar>
              <w:top w:type="dxa" w:w="70"/>
              <w:left w:type="dxa" w:w="120"/>
              <w:bottom w:type="dxa" w:w="70"/>
              <w:right w:type="dxa" w:w="120"/>
            </w:tcMar>
          </w:tcPr>
          <w:p>
            <w:pPr>
              <w:jc w:val="left"/>
            </w:pPr>
            <w:r>
              <w:rPr>
                <w:rFonts w:ascii="Poppins" w:cs="Poppins" w:eastAsia="Poppins" w:hAnsi="Poppins"/>
                <w:b/>
                <w:bCs/>
                <w:color w:val="2A2620"/>
                <w:sz w:val="17"/>
                <w:szCs w:val="17"/>
              </w:rPr>
              <w:t xml:space="preserve">Activo</w:t>
            </w:r>
          </w:p>
        </w:tc>
        <w:tc>
          <w:tcPr>
            <w:tcW w:type="dxa" w:w="62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Edificio residencial inconcluso, Barrio Herrera (Luis A. de Herrera), Asunción — 73,5% de avance estructural</w:t>
            </w:r>
          </w:p>
        </w:tc>
      </w:tr>
      <w:tr>
        <w:tc>
          <w:tcPr>
            <w:tcW w:type="dxa" w:w="2800"/>
            <w:shd w:fill="F3EDE3" w:val="clear"/>
            <w:tcMar>
              <w:top w:type="dxa" w:w="70"/>
              <w:left w:type="dxa" w:w="120"/>
              <w:bottom w:type="dxa" w:w="70"/>
              <w:right w:type="dxa" w:w="120"/>
            </w:tcMar>
          </w:tcPr>
          <w:p>
            <w:pPr>
              <w:jc w:val="left"/>
            </w:pPr>
            <w:r>
              <w:rPr>
                <w:rFonts w:ascii="Poppins" w:cs="Poppins" w:eastAsia="Poppins" w:hAnsi="Poppins"/>
                <w:b/>
                <w:bCs/>
                <w:color w:val="2A2620"/>
                <w:sz w:val="17"/>
                <w:szCs w:val="17"/>
              </w:rPr>
              <w:t xml:space="preserve">Terreno</w:t>
            </w:r>
          </w:p>
        </w:tc>
        <w:tc>
          <w:tcPr>
            <w:tcW w:type="dxa" w:w="62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469 m², Cuenta Catastral 14-502-04, zona de regulación AR2-B (confirmada)</w:t>
            </w:r>
          </w:p>
        </w:tc>
      </w:tr>
      <w:tr>
        <w:tc>
          <w:tcPr>
            <w:tcW w:type="dxa" w:w="2800"/>
            <w:tcMar>
              <w:top w:type="dxa" w:w="70"/>
              <w:left w:type="dxa" w:w="120"/>
              <w:bottom w:type="dxa" w:w="70"/>
              <w:right w:type="dxa" w:w="120"/>
            </w:tcMar>
          </w:tcPr>
          <w:p>
            <w:pPr>
              <w:jc w:val="left"/>
            </w:pPr>
            <w:r>
              <w:rPr>
                <w:rFonts w:ascii="Poppins" w:cs="Poppins" w:eastAsia="Poppins" w:hAnsi="Poppins"/>
                <w:b/>
                <w:bCs/>
                <w:color w:val="2A2620"/>
                <w:sz w:val="17"/>
                <w:szCs w:val="17"/>
              </w:rPr>
              <w:t xml:space="preserve">Precio de compra</w:t>
            </w:r>
          </w:p>
        </w:tc>
        <w:tc>
          <w:tcPr>
            <w:tcW w:type="dxa" w:w="62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USD 850.000 (terreno USD 360.000 + estructura/documentación/riesgo evitado USD 490.000)</w:t>
            </w:r>
          </w:p>
        </w:tc>
      </w:tr>
      <w:tr>
        <w:tc>
          <w:tcPr>
            <w:tcW w:type="dxa" w:w="2800"/>
            <w:shd w:fill="F3EDE3" w:val="clear"/>
            <w:tcMar>
              <w:top w:type="dxa" w:w="70"/>
              <w:left w:type="dxa" w:w="120"/>
              <w:bottom w:type="dxa" w:w="70"/>
              <w:right w:type="dxa" w:w="120"/>
            </w:tcMar>
          </w:tcPr>
          <w:p>
            <w:pPr>
              <w:jc w:val="left"/>
            </w:pPr>
            <w:r>
              <w:rPr>
                <w:rFonts w:ascii="Poppins" w:cs="Poppins" w:eastAsia="Poppins" w:hAnsi="Poppins"/>
                <w:b/>
                <w:bCs/>
                <w:color w:val="2A2620"/>
                <w:sz w:val="17"/>
                <w:szCs w:val="17"/>
              </w:rPr>
              <w:t xml:space="preserve">Financiamiento</w:t>
            </w:r>
          </w:p>
        </w:tc>
        <w:tc>
          <w:tcPr>
            <w:tcW w:type="dxa" w:w="62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Fondos propios — Sociedad Anónima, 2-3 socios, sin deuda bancaria, sin fideicomiso</w:t>
            </w:r>
          </w:p>
        </w:tc>
      </w:tr>
      <w:tr>
        <w:tc>
          <w:tcPr>
            <w:tcW w:type="dxa" w:w="2800"/>
            <w:tcMar>
              <w:top w:type="dxa" w:w="70"/>
              <w:left w:type="dxa" w:w="120"/>
              <w:bottom w:type="dxa" w:w="70"/>
              <w:right w:type="dxa" w:w="120"/>
            </w:tcMar>
          </w:tcPr>
          <w:p>
            <w:pPr>
              <w:jc w:val="left"/>
            </w:pPr>
            <w:r>
              <w:rPr>
                <w:rFonts w:ascii="Poppins" w:cs="Poppins" w:eastAsia="Poppins" w:hAnsi="Poppins"/>
                <w:b/>
                <w:bCs/>
                <w:color w:val="2A2620"/>
                <w:sz w:val="17"/>
                <w:szCs w:val="17"/>
              </w:rPr>
              <w:t xml:space="preserve">Plazo de obra</w:t>
            </w:r>
          </w:p>
        </w:tc>
        <w:tc>
          <w:tcPr>
            <w:tcW w:type="dxa" w:w="62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12 meses</w:t>
            </w:r>
          </w:p>
        </w:tc>
      </w:tr>
      <w:tr>
        <w:tc>
          <w:tcPr>
            <w:tcW w:type="dxa" w:w="2800"/>
            <w:shd w:fill="F3EDE3" w:val="clear"/>
            <w:tcMar>
              <w:top w:type="dxa" w:w="70"/>
              <w:left w:type="dxa" w:w="120"/>
              <w:bottom w:type="dxa" w:w="70"/>
              <w:right w:type="dxa" w:w="120"/>
            </w:tcMar>
          </w:tcPr>
          <w:p>
            <w:pPr>
              <w:jc w:val="left"/>
            </w:pPr>
            <w:r>
              <w:rPr>
                <w:rFonts w:ascii="Poppins" w:cs="Poppins" w:eastAsia="Poppins" w:hAnsi="Poppins"/>
                <w:b/>
                <w:bCs/>
                <w:color w:val="2A2620"/>
                <w:sz w:val="17"/>
                <w:szCs w:val="17"/>
              </w:rPr>
              <w:t xml:space="preserve">Mejor Ángulo</w:t>
            </w:r>
          </w:p>
        </w:tc>
        <w:tc>
          <w:tcPr>
            <w:tcW w:type="dxa" w:w="62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Ángulo 2 (fachada + tipologías chicas + piso adicional, 7 pisos) — mayor margen y mejor consistencia</w:t>
            </w:r>
          </w:p>
        </w:tc>
      </w:tr>
      <w:tr>
        <w:tc>
          <w:tcPr>
            <w:tcW w:type="dxa" w:w="2800"/>
            <w:tcMar>
              <w:top w:type="dxa" w:w="70"/>
              <w:left w:type="dxa" w:w="120"/>
              <w:bottom w:type="dxa" w:w="70"/>
              <w:right w:type="dxa" w:w="120"/>
            </w:tcMar>
          </w:tcPr>
          <w:p>
            <w:pPr>
              <w:jc w:val="left"/>
            </w:pPr>
            <w:r>
              <w:rPr>
                <w:rFonts w:ascii="Poppins" w:cs="Poppins" w:eastAsia="Poppins" w:hAnsi="Poppins"/>
                <w:b/>
                <w:bCs/>
                <w:color w:val="2A2620"/>
                <w:sz w:val="17"/>
                <w:szCs w:val="17"/>
              </w:rPr>
              <w:t xml:space="preserve">Margen final, Ángulo 2</w:t>
            </w:r>
          </w:p>
        </w:tc>
        <w:tc>
          <w:tcPr>
            <w:tcW w:type="dxa" w:w="62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USD 784.541 – 1.091.147 (ROI 24,6% – 34,3%)</w:t>
            </w:r>
          </w:p>
        </w:tc>
      </w:tr>
      <w:tr>
        <w:tc>
          <w:tcPr>
            <w:tcW w:type="dxa" w:w="2800"/>
            <w:shd w:fill="F3EDE3" w:val="clear"/>
            <w:tcMar>
              <w:top w:type="dxa" w:w="70"/>
              <w:left w:type="dxa" w:w="120"/>
              <w:bottom w:type="dxa" w:w="70"/>
              <w:right w:type="dxa" w:w="120"/>
            </w:tcMar>
          </w:tcPr>
          <w:p>
            <w:pPr>
              <w:jc w:val="left"/>
            </w:pPr>
            <w:r>
              <w:rPr>
                <w:rFonts w:ascii="Poppins" w:cs="Poppins" w:eastAsia="Poppins" w:hAnsi="Poppins"/>
                <w:b/>
                <w:bCs/>
                <w:color w:val="2A2620"/>
                <w:sz w:val="17"/>
                <w:szCs w:val="17"/>
              </w:rPr>
              <w:t xml:space="preserve">Déficit de caja detectado</w:t>
            </w:r>
          </w:p>
        </w:tc>
        <w:tc>
          <w:tcPr>
            <w:tcW w:type="dxa" w:w="62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Resuelto — dos escenarios de financiamiento viables (sección 6)</w:t>
            </w:r>
          </w:p>
        </w:tc>
      </w:tr>
      <w:tr>
        <w:tc>
          <w:tcPr>
            <w:tcW w:type="dxa" w:w="2800"/>
            <w:tcMar>
              <w:top w:type="dxa" w:w="70"/>
              <w:left w:type="dxa" w:w="120"/>
              <w:bottom w:type="dxa" w:w="70"/>
              <w:right w:type="dxa" w:w="120"/>
            </w:tcMar>
          </w:tcPr>
          <w:p>
            <w:pPr>
              <w:jc w:val="left"/>
            </w:pPr>
            <w:r>
              <w:rPr>
                <w:rFonts w:ascii="Poppins" w:cs="Poppins" w:eastAsia="Poppins" w:hAnsi="Poppins"/>
                <w:b/>
                <w:bCs/>
                <w:color w:val="2A2620"/>
                <w:sz w:val="17"/>
                <w:szCs w:val="17"/>
              </w:rPr>
              <w:t xml:space="preserve">Mejor escenario venta/retención (Ángulo 3, ilustrativo)</w:t>
            </w:r>
          </w:p>
        </w:tc>
        <w:tc>
          <w:tcPr>
            <w:tcW w:type="dxa" w:w="62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Retener y esperar plusvalía: 33,4%/año, con riesgo de mercado real</w:t>
            </w:r>
          </w:p>
        </w:tc>
      </w:tr>
      <w:tr>
        <w:tc>
          <w:tcPr>
            <w:tcW w:type="dxa" w:w="2800"/>
            <w:shd w:fill="F3EDE3" w:val="clear"/>
            <w:tcMar>
              <w:top w:type="dxa" w:w="70"/>
              <w:left w:type="dxa" w:w="120"/>
              <w:bottom w:type="dxa" w:w="70"/>
              <w:right w:type="dxa" w:w="120"/>
            </w:tcMar>
          </w:tcPr>
          <w:p>
            <w:pPr>
              <w:jc w:val="left"/>
            </w:pPr>
            <w:r>
              <w:rPr>
                <w:rFonts w:ascii="Poppins" w:cs="Poppins" w:eastAsia="Poppins" w:hAnsi="Poppins"/>
                <w:b/>
                <w:bCs/>
                <w:color w:val="2A2620"/>
                <w:sz w:val="17"/>
                <w:szCs w:val="17"/>
              </w:rPr>
              <w:t xml:space="preserve">Bloqueantes de due diligence sin resolver</w:t>
            </w:r>
          </w:p>
        </w:tc>
        <w:tc>
          <w:tcPr>
            <w:tcW w:type="dxa" w:w="6200"/>
            <w:shd w:fill="F3EDE3" w:val="clear"/>
            <w:tcMar>
              <w:top w:type="dxa" w:w="70"/>
              <w:left w:type="dxa" w:w="120"/>
              <w:bottom w:type="dxa" w:w="70"/>
              <w:right w:type="dxa" w:w="120"/>
            </w:tcMar>
          </w:tcPr>
          <w:p>
            <w:pPr>
              <w:jc w:val="left"/>
            </w:pPr>
            <w:r>
              <w:rPr>
                <w:rFonts w:ascii="Poppins" w:cs="Poppins" w:eastAsia="Poppins" w:hAnsi="Poppins"/>
                <w:b/>
                <w:bCs/>
                <w:color w:val="9C3B2E"/>
                <w:sz w:val="17"/>
                <w:szCs w:val="17"/>
              </w:rPr>
              <w:t xml:space="preserve">Uno solo: opinión estructural sobre el piso adicional (Ángulo 2)</w:t>
            </w:r>
          </w:p>
        </w:tc>
      </w:tr>
    </w:tbl>
    <w:p>
      <w:pPr>
        <w:keepNext/>
        <w:spacing w:after="140" w:before="340"/>
      </w:pPr>
      <w:r>
        <w:rPr>
          <w:rFonts w:ascii="Fraunces" w:cs="Fraunces" w:eastAsia="Fraunces" w:hAnsi="Fraunces"/>
          <w:b w:val="false"/>
          <w:bCs w:val="false"/>
          <w:color w:val="A87D22"/>
          <w:sz w:val="30"/>
          <w:szCs w:val="30"/>
        </w:rPr>
        <w:t xml:space="preserve">2.  </w:t>
      </w:r>
      <w:r>
        <w:rPr>
          <w:rFonts w:ascii="Fraunces" w:cs="Fraunces" w:eastAsia="Fraunces" w:hAnsi="Fraunces"/>
          <w:b w:val="false"/>
          <w:bCs w:val="false"/>
          <w:color w:val="14313A"/>
          <w:sz w:val="30"/>
          <w:szCs w:val="30"/>
        </w:rPr>
        <w:t xml:space="preserve">El activo</w:t>
      </w:r>
    </w:p>
    <w:p>
      <w:pPr>
        <w:pStyle w:val="ListParagraph"/>
        <w:numPr>
          <w:ilvl w:val="0"/>
          <w:numId w:val="1"/>
        </w:numPr>
        <w:spacing w:after="70"/>
      </w:pPr>
      <w:r>
        <w:rPr>
          <w:rFonts w:ascii="Poppins" w:cs="Poppins" w:eastAsia="Poppins" w:hAnsi="Poppins"/>
          <w:color w:val="2A2620"/>
          <w:sz w:val="20"/>
          <w:szCs w:val="20"/>
        </w:rPr>
        <w:t xml:space="preserve">Ubicación: esquina Concejal Vargas y 4 de Julio, Barrio Herrera (Luis A. de Herrera), Asunción — zona residencial de alta demanda, confirmada por el founder, cercana pero no en medio del tránsito de los principales centros comerciales de la ciudad.</w:t>
      </w:r>
    </w:p>
    <w:p>
      <w:pPr>
        <w:pStyle w:val="ListParagraph"/>
        <w:numPr>
          <w:ilvl w:val="0"/>
          <w:numId w:val="1"/>
        </w:numPr>
        <w:spacing w:after="70"/>
      </w:pPr>
      <w:r>
        <w:rPr>
          <w:rFonts w:ascii="Poppins" w:cs="Poppins" w:eastAsia="Poppins" w:hAnsi="Poppins"/>
          <w:color w:val="2A2620"/>
          <w:sz w:val="20"/>
          <w:szCs w:val="20"/>
        </w:rPr>
        <w:t xml:space="preserve">Identidad verificada: "Edificio 4 de Julio" (nombre técnico/legal, planos 2023) y "Herrera Town" (nombre comercial) son el mismo predio — verificado por cuenta catastral, superficie y ubicación coincidentes.</w:t>
      </w:r>
    </w:p>
    <w:p>
      <w:pPr>
        <w:pStyle w:val="ListParagraph"/>
        <w:numPr>
          <w:ilvl w:val="0"/>
          <w:numId w:val="1"/>
        </w:numPr>
        <w:spacing w:after="70"/>
      </w:pPr>
      <w:r>
        <w:rPr>
          <w:rFonts w:ascii="Poppins" w:cs="Poppins" w:eastAsia="Poppins" w:hAnsi="Poppins"/>
          <w:color w:val="2A2620"/>
          <w:sz w:val="20"/>
          <w:szCs w:val="20"/>
        </w:rPr>
        <w:t xml:space="preserve">Estado de avance: 73,5% de la estructura de hormigón ya construida (2.286,93 de 3.113,03 m² totales a construir) — exclusivamente estructura, 0% de mampostería, instalaciones o terminaciones.</w:t>
      </w:r>
    </w:p>
    <w:p>
      <w:pPr>
        <w:pStyle w:val="ListParagraph"/>
        <w:numPr>
          <w:ilvl w:val="0"/>
          <w:numId w:val="1"/>
        </w:numPr>
        <w:spacing w:after="70"/>
      </w:pPr>
      <w:r>
        <w:rPr>
          <w:rFonts w:ascii="Poppins" w:cs="Poppins" w:eastAsia="Poppins" w:hAnsi="Poppins"/>
          <w:color w:val="2A2620"/>
          <w:sz w:val="20"/>
          <w:szCs w:val="20"/>
        </w:rPr>
        <w:t xml:space="preserve">Zonificación: AR2-B (Plan Regulador, Ordenanza 43/1994) — altura base 5 plantas/15 m, con incentivo confirmado a 7 plantas mediante mayor retiro. Permiso municipal para el piso adicional ya confirmado.</w:t>
      </w:r>
    </w:p>
    <w:p>
      <w:pPr>
        <w:pStyle w:val="ListParagraph"/>
        <w:numPr>
          <w:ilvl w:val="0"/>
          <w:numId w:val="1"/>
        </w:numPr>
        <w:spacing w:after="70"/>
      </w:pPr>
      <w:r>
        <w:rPr>
          <w:rFonts w:ascii="Poppins" w:cs="Poppins" w:eastAsia="Poppins" w:hAnsi="Poppins"/>
          <w:color w:val="2A2620"/>
          <w:sz w:val="20"/>
          <w:szCs w:val="20"/>
        </w:rPr>
        <w:t xml:space="preserve">Mercado comparable directo: Filum Herrera (Century 21 Liberty), mismo barrio, entrega dic. 2026 — 1 dorm 38m²=USD 70.300 (USD 1.850/m²), 1 dorm Plus 48m²=USD 97.200 (USD 2.025/m²), 2 dorm 77m²=USD 142.500 (USD 1.851/m²).</w:t>
      </w:r>
    </w:p>
    <w:p>
      <w:pPr>
        <w:keepNext/>
        <w:spacing w:after="140" w:before="340"/>
      </w:pPr>
      <w:r>
        <w:rPr>
          <w:rFonts w:ascii="Fraunces" w:cs="Fraunces" w:eastAsia="Fraunces" w:hAnsi="Fraunces"/>
          <w:b w:val="false"/>
          <w:bCs w:val="false"/>
          <w:color w:val="A87D22"/>
          <w:sz w:val="30"/>
          <w:szCs w:val="30"/>
        </w:rPr>
        <w:t xml:space="preserve">3.  </w:t>
      </w:r>
      <w:r>
        <w:rPr>
          <w:rFonts w:ascii="Fraunces" w:cs="Fraunces" w:eastAsia="Fraunces" w:hAnsi="Fraunces"/>
          <w:b w:val="false"/>
          <w:bCs w:val="false"/>
          <w:color w:val="14313A"/>
          <w:sz w:val="30"/>
          <w:szCs w:val="30"/>
        </w:rPr>
        <w:t xml:space="preserve">La oportunidad — tres Ángulos comparados</w:t>
      </w:r>
    </w:p>
    <w:p>
      <w:pPr>
        <w:spacing w:after="120"/>
        <w:jc w:val="both"/>
      </w:pPr>
      <w:r>
        <w:rPr>
          <w:rFonts w:ascii="Poppins" w:cs="Poppins" w:eastAsia="Poppins" w:hAnsi="Poppins"/>
          <w:b w:val="false"/>
          <w:bCs w:val="false"/>
          <w:i/>
          <w:iCs/>
          <w:color w:val="5A544C"/>
          <w:sz w:val="20"/>
          <w:szCs w:val="20"/>
        </w:rPr>
        <w:t xml:space="preserve">Con el costo definitivo (USD 720/m²) e IVA del desarrollador ya descontado.</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2600"/>
        <w:gridCol w:w="2130"/>
        <w:gridCol w:w="2130"/>
        <w:gridCol w:w="2140"/>
      </w:tblGrid>
      <w:tr>
        <w:trPr>
          <w:tblHeader/>
        </w:trPr>
        <w:tc>
          <w:tcPr>
            <w:tcW w:type="dxa" w:w="2600"/>
            <w:shd w:fill="14313A" w:val="clear"/>
            <w:tcMar>
              <w:top w:type="dxa" w:w="70"/>
              <w:left w:type="dxa" w:w="120"/>
              <w:bottom w:type="dxa" w:w="70"/>
              <w:right w:type="dxa" w:w="120"/>
            </w:tcMar>
          </w:tcPr>
          <w:p>
            <w:pPr>
              <w:jc w:val="left"/>
            </w:pPr>
            <w:r>
              <w:rPr>
                <w:rFonts w:ascii="Poppins" w:cs="Poppins" w:eastAsia="Poppins" w:hAnsi="Poppins"/>
                <w:b/>
                <w:bCs/>
                <w:color w:val="FFFFFF"/>
                <w:sz w:val="17"/>
                <w:szCs w:val="17"/>
              </w:rPr>
              <w:t xml:space="preserve"/>
            </w:r>
          </w:p>
        </w:tc>
        <w:tc>
          <w:tcPr>
            <w:tcW w:type="dxa" w:w="2130"/>
            <w:shd w:fill="14313A" w:val="clear"/>
            <w:tcMar>
              <w:top w:type="dxa" w:w="70"/>
              <w:left w:type="dxa" w:w="120"/>
              <w:bottom w:type="dxa" w:w="70"/>
              <w:right w:type="dxa" w:w="120"/>
            </w:tcMar>
          </w:tcPr>
          <w:p>
            <w:pPr>
              <w:jc w:val="left"/>
            </w:pPr>
            <w:r>
              <w:rPr>
                <w:rFonts w:ascii="Poppins" w:cs="Poppins" w:eastAsia="Poppins" w:hAnsi="Poppins"/>
                <w:b/>
                <w:bCs/>
                <w:color w:val="FFFFFF"/>
                <w:sz w:val="17"/>
                <w:szCs w:val="17"/>
              </w:rPr>
              <w:t xml:space="preserve">Ángulo 1 (tal cual)</w:t>
            </w:r>
          </w:p>
        </w:tc>
        <w:tc>
          <w:tcPr>
            <w:tcW w:type="dxa" w:w="2130"/>
            <w:shd w:fill="14313A" w:val="clear"/>
            <w:tcMar>
              <w:top w:type="dxa" w:w="70"/>
              <w:left w:type="dxa" w:w="120"/>
              <w:bottom w:type="dxa" w:w="70"/>
              <w:right w:type="dxa" w:w="120"/>
            </w:tcMar>
          </w:tcPr>
          <w:p>
            <w:pPr>
              <w:jc w:val="left"/>
            </w:pPr>
            <w:r>
              <w:rPr>
                <w:rFonts w:ascii="Poppins" w:cs="Poppins" w:eastAsia="Poppins" w:hAnsi="Poppins"/>
                <w:b/>
                <w:bCs/>
                <w:color w:val="FFFFFF"/>
                <w:sz w:val="17"/>
                <w:szCs w:val="17"/>
              </w:rPr>
              <w:t xml:space="preserve">Ángulo 3 (fachada+chicas, 6P)</w:t>
            </w:r>
          </w:p>
        </w:tc>
        <w:tc>
          <w:tcPr>
            <w:tcW w:type="dxa" w:w="2140"/>
            <w:shd w:fill="14313A" w:val="clear"/>
            <w:tcMar>
              <w:top w:type="dxa" w:w="70"/>
              <w:left w:type="dxa" w:w="120"/>
              <w:bottom w:type="dxa" w:w="70"/>
              <w:right w:type="dxa" w:w="120"/>
            </w:tcMar>
          </w:tcPr>
          <w:p>
            <w:pPr>
              <w:jc w:val="left"/>
            </w:pPr>
            <w:r>
              <w:rPr>
                <w:rFonts w:ascii="Poppins" w:cs="Poppins" w:eastAsia="Poppins" w:hAnsi="Poppins"/>
                <w:b/>
                <w:bCs/>
                <w:color w:val="FFFFFF"/>
                <w:sz w:val="17"/>
                <w:szCs w:val="17"/>
              </w:rPr>
              <w:t xml:space="preserve">Ángulo 2 (fachada+chicas+7P)</w:t>
            </w:r>
          </w:p>
        </w:tc>
      </w:tr>
      <w:tr>
        <w:tc>
          <w:tcPr>
            <w:tcW w:type="dxa" w:w="26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Unidades</w:t>
            </w:r>
          </w:p>
        </w:tc>
        <w:tc>
          <w:tcPr>
            <w:tcW w:type="dxa" w:w="213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21</w:t>
            </w:r>
          </w:p>
        </w:tc>
        <w:tc>
          <w:tcPr>
            <w:tcW w:type="dxa" w:w="213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29 (ilustrativo)</w:t>
            </w:r>
          </w:p>
        </w:tc>
        <w:tc>
          <w:tcPr>
            <w:tcW w:type="dxa" w:w="214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39 (ilustrativo)</w:t>
            </w:r>
          </w:p>
        </w:tc>
      </w:tr>
      <w:tr>
        <w:tc>
          <w:tcPr>
            <w:tcW w:type="dxa" w:w="26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Área comercializable</w:t>
            </w:r>
          </w:p>
        </w:tc>
        <w:tc>
          <w:tcPr>
            <w:tcW w:type="dxa" w:w="213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1.800 m²</w:t>
            </w:r>
          </w:p>
        </w:tc>
        <w:tc>
          <w:tcPr>
            <w:tcW w:type="dxa" w:w="213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1.800 m²</w:t>
            </w:r>
          </w:p>
        </w:tc>
        <w:tc>
          <w:tcPr>
            <w:tcW w:type="dxa" w:w="214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2.100 m²</w:t>
            </w:r>
          </w:p>
        </w:tc>
      </w:tr>
      <w:tr>
        <w:tc>
          <w:tcPr>
            <w:tcW w:type="dxa" w:w="26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Inversión Total</w:t>
            </w:r>
          </w:p>
        </w:tc>
        <w:tc>
          <w:tcPr>
            <w:tcW w:type="dxa" w:w="213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USD 2.745.598</w:t>
            </w:r>
          </w:p>
        </w:tc>
        <w:tc>
          <w:tcPr>
            <w:tcW w:type="dxa" w:w="213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USD 2.930.823</w:t>
            </w:r>
          </w:p>
        </w:tc>
        <w:tc>
          <w:tcPr>
            <w:tcW w:type="dxa" w:w="2140"/>
            <w:tcMar>
              <w:top w:type="dxa" w:w="70"/>
              <w:left w:type="dxa" w:w="120"/>
              <w:bottom w:type="dxa" w:w="70"/>
              <w:right w:type="dxa" w:w="120"/>
            </w:tcMar>
          </w:tcPr>
          <w:p>
            <w:pPr>
              <w:jc w:val="left"/>
            </w:pPr>
            <w:r>
              <w:rPr>
                <w:rFonts w:ascii="Poppins" w:cs="Poppins" w:eastAsia="Poppins" w:hAnsi="Poppins"/>
                <w:b/>
                <w:bCs/>
                <w:color w:val="2A2620"/>
                <w:sz w:val="17"/>
                <w:szCs w:val="17"/>
              </w:rPr>
              <w:t xml:space="preserve">USD 3.185.640</w:t>
            </w:r>
          </w:p>
        </w:tc>
      </w:tr>
      <w:tr>
        <w:tc>
          <w:tcPr>
            <w:tcW w:type="dxa" w:w="26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Costo/m² comercializable</w:t>
            </w:r>
          </w:p>
        </w:tc>
        <w:tc>
          <w:tcPr>
            <w:tcW w:type="dxa" w:w="213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USD 1.525,33</w:t>
            </w:r>
          </w:p>
        </w:tc>
        <w:tc>
          <w:tcPr>
            <w:tcW w:type="dxa" w:w="213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USD 1.628,24</w:t>
            </w:r>
          </w:p>
        </w:tc>
        <w:tc>
          <w:tcPr>
            <w:tcW w:type="dxa" w:w="2140"/>
            <w:shd w:fill="F3EDE3" w:val="clear"/>
            <w:tcMar>
              <w:top w:type="dxa" w:w="70"/>
              <w:left w:type="dxa" w:w="120"/>
              <w:bottom w:type="dxa" w:w="70"/>
              <w:right w:type="dxa" w:w="120"/>
            </w:tcMar>
          </w:tcPr>
          <w:p>
            <w:pPr>
              <w:jc w:val="left"/>
            </w:pPr>
            <w:r>
              <w:rPr>
                <w:rFonts w:ascii="Poppins" w:cs="Poppins" w:eastAsia="Poppins" w:hAnsi="Poppins"/>
                <w:b/>
                <w:bCs/>
                <w:color w:val="2A2620"/>
                <w:sz w:val="17"/>
                <w:szCs w:val="17"/>
              </w:rPr>
              <w:t xml:space="preserve">USD 1.516,97 (el más bajo)</w:t>
            </w:r>
          </w:p>
        </w:tc>
      </w:tr>
      <w:tr>
        <w:tc>
          <w:tcPr>
            <w:tcW w:type="dxa" w:w="26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Ingresos totales (bajo–alto)</w:t>
            </w:r>
          </w:p>
        </w:tc>
        <w:tc>
          <w:tcPr>
            <w:tcW w:type="dxa" w:w="213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3.567.637 – 4.218.165</w:t>
            </w:r>
          </w:p>
        </w:tc>
        <w:tc>
          <w:tcPr>
            <w:tcW w:type="dxa" w:w="213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3.820.500 – 4.097.250</w:t>
            </w:r>
          </w:p>
        </w:tc>
        <w:tc>
          <w:tcPr>
            <w:tcW w:type="dxa" w:w="2140"/>
            <w:tcMar>
              <w:top w:type="dxa" w:w="70"/>
              <w:left w:type="dxa" w:w="120"/>
              <w:bottom w:type="dxa" w:w="70"/>
              <w:right w:type="dxa" w:w="120"/>
            </w:tcMar>
          </w:tcPr>
          <w:p>
            <w:pPr>
              <w:jc w:val="left"/>
            </w:pPr>
            <w:r>
              <w:rPr>
                <w:rFonts w:ascii="Poppins" w:cs="Poppins" w:eastAsia="Poppins" w:hAnsi="Poppins"/>
                <w:b/>
                <w:bCs/>
                <w:color w:val="2A2620"/>
                <w:sz w:val="17"/>
                <w:szCs w:val="17"/>
              </w:rPr>
              <w:t xml:space="preserve">4.424.700 – 4.749.150</w:t>
            </w:r>
          </w:p>
        </w:tc>
      </w:tr>
      <w:tr>
        <w:tc>
          <w:tcPr>
            <w:tcW w:type="dxa" w:w="26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IVA del desarrollador</w:t>
            </w:r>
          </w:p>
        </w:tc>
        <w:tc>
          <w:tcPr>
            <w:tcW w:type="dxa" w:w="213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189.560</w:t>
            </w:r>
          </w:p>
        </w:tc>
        <w:tc>
          <w:tcPr>
            <w:tcW w:type="dxa" w:w="213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189.560</w:t>
            </w:r>
          </w:p>
        </w:tc>
        <w:tc>
          <w:tcPr>
            <w:tcW w:type="dxa" w:w="214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211.160</w:t>
            </w:r>
          </w:p>
        </w:tc>
      </w:tr>
      <w:tr>
        <w:tc>
          <w:tcPr>
            <w:tcW w:type="dxa" w:w="26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Margen final (bajo–alto)</w:t>
            </w:r>
          </w:p>
        </w:tc>
        <w:tc>
          <w:tcPr>
            <w:tcW w:type="dxa" w:w="213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436.259 – 1.051.008</w:t>
            </w:r>
          </w:p>
        </w:tc>
        <w:tc>
          <w:tcPr>
            <w:tcW w:type="dxa" w:w="213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489.990 – 751.518</w:t>
            </w:r>
          </w:p>
        </w:tc>
        <w:tc>
          <w:tcPr>
            <w:tcW w:type="dxa" w:w="2140"/>
            <w:tcMar>
              <w:top w:type="dxa" w:w="70"/>
              <w:left w:type="dxa" w:w="120"/>
              <w:bottom w:type="dxa" w:w="70"/>
              <w:right w:type="dxa" w:w="120"/>
            </w:tcMar>
          </w:tcPr>
          <w:p>
            <w:pPr>
              <w:jc w:val="left"/>
            </w:pPr>
            <w:r>
              <w:rPr>
                <w:rFonts w:ascii="Poppins" w:cs="Poppins" w:eastAsia="Poppins" w:hAnsi="Poppins"/>
                <w:b/>
                <w:bCs/>
                <w:color w:val="2E5C3E"/>
                <w:sz w:val="17"/>
                <w:szCs w:val="17"/>
              </w:rPr>
              <w:t xml:space="preserve">784.541 – 1.091.147</w:t>
            </w:r>
          </w:p>
        </w:tc>
      </w:tr>
      <w:tr>
        <w:tc>
          <w:tcPr>
            <w:tcW w:type="dxa" w:w="26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ROI sobre Inversión Total</w:t>
            </w:r>
          </w:p>
        </w:tc>
        <w:tc>
          <w:tcPr>
            <w:tcW w:type="dxa" w:w="213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15,9% – 38,3%</w:t>
            </w:r>
          </w:p>
        </w:tc>
        <w:tc>
          <w:tcPr>
            <w:tcW w:type="dxa" w:w="213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16,7% – 25,6%</w:t>
            </w:r>
          </w:p>
        </w:tc>
        <w:tc>
          <w:tcPr>
            <w:tcW w:type="dxa" w:w="2140"/>
            <w:shd w:fill="F3EDE3" w:val="clear"/>
            <w:tcMar>
              <w:top w:type="dxa" w:w="70"/>
              <w:left w:type="dxa" w:w="120"/>
              <w:bottom w:type="dxa" w:w="70"/>
              <w:right w:type="dxa" w:w="120"/>
            </w:tcMar>
          </w:tcPr>
          <w:p>
            <w:pPr>
              <w:jc w:val="left"/>
            </w:pPr>
            <w:r>
              <w:rPr>
                <w:rFonts w:ascii="Poppins" w:cs="Poppins" w:eastAsia="Poppins" w:hAnsi="Poppins"/>
                <w:b/>
                <w:bCs/>
                <w:color w:val="2E5C3E"/>
                <w:sz w:val="17"/>
                <w:szCs w:val="17"/>
              </w:rPr>
              <w:t xml:space="preserve">24,6% – 34,3%</w:t>
            </w:r>
          </w:p>
        </w:tc>
      </w:tr>
    </w:tbl>
    <w:p>
      <w:pPr>
        <w:spacing w:after="120"/>
      </w:pPr>
      <w:r>
        <w:rPr>
          <w:sz w:val="2"/>
          <w:szCs w:val="2"/>
        </w:rPr>
        <w:t xml:space="preserve"/>
      </w:r>
    </w:p>
    <w:tbl>
      <w:tblPr>
        <w:tblW w:type="dxa" w:w="9000"/>
        <w:tblBorders>
          <w:top w:val="single" w:color="2E5C3E" w:sz="8"/>
          <w:left w:val="single" w:color="2E5C3E" w:sz="8"/>
          <w:bottom w:val="single" w:color="2E5C3E" w:sz="8"/>
          <w:right w:val="single" w:color="2E5C3E" w:sz="8"/>
          <w:insideH w:val="single" w:color="2E5C3E" w:sz="8"/>
          <w:insideV w:val="single" w:color="2E5C3E" w:sz="8"/>
        </w:tblBorders>
      </w:tblPr>
      <w:tblGrid>
        <w:gridCol w:w="9000"/>
      </w:tblGrid>
      <w:tr>
        <w:tc>
          <w:tcPr>
            <w:tcW w:type="dxa" w:w="9000"/>
            <w:shd w:fill="E7EFE9" w:val="clear"/>
            <w:tcMar>
              <w:top w:type="dxa" w:w="140"/>
              <w:left w:type="dxa" w:w="200"/>
              <w:bottom w:type="dxa" w:w="140"/>
              <w:right w:type="dxa" w:w="200"/>
            </w:tcMar>
          </w:tcPr>
          <w:p>
            <w:pPr>
              <w:spacing w:after="70"/>
            </w:pPr>
            <w:r>
              <w:rPr>
                <w:rFonts w:ascii="Poppins" w:cs="Poppins" w:eastAsia="Poppins" w:hAnsi="Poppins"/>
                <w:b/>
                <w:bCs/>
                <w:color w:val="2E5C3E"/>
                <w:sz w:val="20"/>
                <w:szCs w:val="20"/>
              </w:rPr>
              <w:t xml:space="preserve">Política de precios confirmada, con respaldo cuantitativo</w:t>
            </w:r>
          </w:p>
          <w:p>
            <w:pPr>
              <w:jc w:val="both"/>
            </w:pPr>
            <w:r>
              <w:rPr>
                <w:rFonts w:ascii="Poppins" w:cs="Poppins" w:eastAsia="Poppins" w:hAnsi="Poppins"/>
                <w:color w:val="3A342C"/>
                <w:sz w:val="19"/>
                <w:szCs w:val="19"/>
              </w:rPr>
              <w:t xml:space="preserve">Se mantiene el rango USD 1.900–2.050/m² por diferenciación de producto (calidad USD 720/m²) — comparado directamente contra la alternativa de bajar a calidad USD 650/m² + precio de mercado bajo (USD 1.576–1.809/m², comparables reales de Century 21), la política premium gana en los cuatro escenarios probados (2 Ángulos × 2 extremos de rango), con una diferencia de ROI de 6 a 12 puntos porcentuales. Reconfirmado 2026-08-18 con el AMC parametrizado: 9 comparables reales dentro del propio Barrio Herrera (antes 2), ajuste AMC de 2 dormitorios ~USD 1.509/m² — mismo hallazgo, muestra 4,5x mayor.</w:t>
            </w:r>
          </w:p>
        </w:tc>
      </w:tr>
    </w:tbl>
    <w:p>
      <w:pPr>
        <w:spacing w:after="120"/>
      </w:pPr>
      <w:r>
        <w:rPr>
          <w:sz w:val="2"/>
          <w:szCs w:val="2"/>
        </w:rPr>
        <w:t xml:space="preserve"/>
      </w:r>
    </w:p>
    <w:p>
      <w:pPr>
        <w:spacing w:after="120"/>
        <w:jc w:val="both"/>
      </w:pPr>
      <w:r>
        <w:rPr>
          <w:rFonts w:ascii="Poppins" w:cs="Poppins" w:eastAsia="Poppins" w:hAnsi="Poppins"/>
          <w:b w:val="false"/>
          <w:bCs w:val="false"/>
          <w:i w:val="false"/>
          <w:iCs w:val="false"/>
          <w:color w:val="2A2620"/>
          <w:sz w:val="20"/>
          <w:szCs w:val="20"/>
        </w:rPr>
        <w:t xml:space="preserve">El Ángulo 2 es la recomendación dentro de las tres opciones de diseño — mayor margen en dólares, mejor ROI en el extremo bajo del rango de precio (el escenario más conservador), y el costo/m² más bajo de los tres pese a tener el mayor % de Proyecto asignado (40%). El riesgo que le queda es técnico, no financiero: la opinión estructural sobre si la estructura ya construida soporta el piso adicional sin refuerzo mayor.</w:t>
      </w:r>
    </w:p>
    <w:p>
      <w:pPr>
        <w:spacing w:after="120"/>
        <w:jc w:val="both"/>
      </w:pPr>
      <w:r>
        <w:rPr>
          <w:rFonts w:ascii="Poppins" w:cs="Poppins" w:eastAsia="Poppins" w:hAnsi="Poppins"/>
          <w:b w:val="false"/>
          <w:bCs w:val="false"/>
          <w:i w:val="false"/>
          <w:iCs w:val="false"/>
          <w:color w:val="2A2620"/>
          <w:sz w:val="20"/>
          <w:szCs w:val="20"/>
        </w:rPr>
        <w:t xml:space="preserve">El Ángulo 1 (tal cual, sin modificaciones) ya no tiene ningún escenario negativo tras la corrección de costos — es la opción de menor riesgo de ejecución, aunque con menor margen absoluto que el Ángulo 2.</w:t>
      </w:r>
    </w:p>
    <w:p>
      <w:pPr>
        <w:keepNext/>
        <w:spacing w:after="140" w:before="340"/>
      </w:pPr>
      <w:r>
        <w:rPr>
          <w:rFonts w:ascii="Fraunces" w:cs="Fraunces" w:eastAsia="Fraunces" w:hAnsi="Fraunces"/>
          <w:b w:val="false"/>
          <w:bCs w:val="false"/>
          <w:color w:val="A87D22"/>
          <w:sz w:val="30"/>
          <w:szCs w:val="30"/>
        </w:rPr>
        <w:t xml:space="preserve">4.  </w:t>
      </w:r>
      <w:r>
        <w:rPr>
          <w:rFonts w:ascii="Fraunces" w:cs="Fraunces" w:eastAsia="Fraunces" w:hAnsi="Fraunces"/>
          <w:b w:val="false"/>
          <w:bCs w:val="false"/>
          <w:color w:val="14313A"/>
          <w:sz w:val="30"/>
          <w:szCs w:val="30"/>
        </w:rPr>
        <w:t xml:space="preserve">Estructura de la inversión — confirmada</w:t>
      </w:r>
    </w:p>
    <w:p>
      <w:pPr>
        <w:pStyle w:val="ListParagraph"/>
        <w:numPr>
          <w:ilvl w:val="0"/>
          <w:numId w:val="1"/>
        </w:numPr>
        <w:spacing w:after="70"/>
      </w:pPr>
      <w:r>
        <w:rPr>
          <w:rFonts w:ascii="Poppins" w:cs="Poppins" w:eastAsia="Poppins" w:hAnsi="Poppins"/>
          <w:color w:val="2A2620"/>
          <w:sz w:val="20"/>
          <w:szCs w:val="20"/>
        </w:rPr>
        <w:t xml:space="preserve">Vehículo legal: Sociedad Anónima entre 2-3 socios, que aportan el 100% del capital necesario (terreno + construcción) — sin deuda bancaria, sin fideicomiso.</w:t>
      </w:r>
    </w:p>
    <w:p>
      <w:pPr>
        <w:pStyle w:val="ListParagraph"/>
        <w:numPr>
          <w:ilvl w:val="0"/>
          <w:numId w:val="1"/>
        </w:numPr>
        <w:spacing w:after="70"/>
      </w:pPr>
      <w:r>
        <w:rPr>
          <w:rFonts w:ascii="Poppins" w:cs="Poppins" w:eastAsia="Poppins" w:hAnsi="Poppins"/>
          <w:color w:val="2A2620"/>
          <w:sz w:val="20"/>
          <w:szCs w:val="20"/>
        </w:rPr>
        <w:t xml:space="preserve">Comisión de venta: 5,5% del total de la venta (con IVA 10% incluido), con reparto según el canal — dos puntas propio (100% Meridiano), equipo interno (2,5%/3%), franquicia RE/MAX o Century 21 (0%/100% cedido), agente independiente (2,75%/2,75%). Política estándar de la empresa.</w:t>
      </w:r>
    </w:p>
    <w:p>
      <w:pPr>
        <w:pStyle w:val="ListParagraph"/>
        <w:numPr>
          <w:ilvl w:val="0"/>
          <w:numId w:val="1"/>
        </w:numPr>
        <w:spacing w:after="70"/>
      </w:pPr>
      <w:r>
        <w:rPr>
          <w:rFonts w:ascii="Poppins" w:cs="Poppins" w:eastAsia="Poppins" w:hAnsi="Poppins"/>
          <w:color w:val="2A2620"/>
          <w:sz w:val="20"/>
          <w:szCs w:val="20"/>
        </w:rPr>
        <w:t xml:space="preserve">Esquema de financiamiento de compradores: 20% entrega + 70% cuotas decrecientes + 10% contra la entrega física — norma estándar de la empresa. Para este caso, se evaluó y se mantiene como alternativa viable una variante de plazo corto (40% entrega + 50% cuotas + 10% entrega).</w:t>
      </w:r>
    </w:p>
    <w:p>
      <w:pPr>
        <w:pStyle w:val="ListParagraph"/>
        <w:numPr>
          <w:ilvl w:val="0"/>
          <w:numId w:val="1"/>
        </w:numPr>
        <w:spacing w:after="70"/>
      </w:pPr>
      <w:r>
        <w:rPr>
          <w:rFonts w:ascii="Poppins" w:cs="Poppins" w:eastAsia="Poppins" w:hAnsi="Poppins"/>
          <w:color w:val="2A2620"/>
          <w:sz w:val="20"/>
          <w:szCs w:val="20"/>
        </w:rPr>
        <w:t xml:space="preserve">Régimen tributario del desarrollador: 10% IVA sobre el costo total de construcción + 10% impuesto a la renta sobre utilidad neta — ambas bases confirmadas, ya descontadas del margen final.</w:t>
      </w:r>
    </w:p>
    <w:p>
      <w:pPr>
        <w:keepNext/>
        <w:spacing w:after="140" w:before="340"/>
      </w:pPr>
      <w:r>
        <w:rPr>
          <w:rFonts w:ascii="Fraunces" w:cs="Fraunces" w:eastAsia="Fraunces" w:hAnsi="Fraunces"/>
          <w:b w:val="false"/>
          <w:bCs w:val="false"/>
          <w:color w:val="A87D22"/>
          <w:sz w:val="30"/>
          <w:szCs w:val="30"/>
        </w:rPr>
        <w:t xml:space="preserve">5.  </w:t>
      </w:r>
      <w:r>
        <w:rPr>
          <w:rFonts w:ascii="Fraunces" w:cs="Fraunces" w:eastAsia="Fraunces" w:hAnsi="Fraunces"/>
          <w:b w:val="false"/>
          <w:bCs w:val="false"/>
          <w:color w:val="14313A"/>
          <w:sz w:val="30"/>
          <w:szCs w:val="30"/>
        </w:rPr>
        <w:t xml:space="preserve">Matriz de sensibilidad — precio bajo vs. alto</w:t>
      </w:r>
    </w:p>
    <w:p>
      <w:pPr>
        <w:spacing w:after="120"/>
        <w:jc w:val="both"/>
      </w:pPr>
      <w:r>
        <w:rPr>
          <w:rFonts w:ascii="Poppins" w:cs="Poppins" w:eastAsia="Poppins" w:hAnsi="Poppins"/>
          <w:b w:val="false"/>
          <w:bCs w:val="false"/>
          <w:i w:val="false"/>
          <w:iCs w:val="false"/>
          <w:color w:val="2A2620"/>
          <w:sz w:val="20"/>
          <w:szCs w:val="20"/>
        </w:rPr>
        <w:t xml:space="preserve">El rango de precio de venta (USD 1.900–2.050/m², calibrado contra el comparable Filum Herrera) es la variable de sensibilidad principal del caso — ya incorporada en la tabla de la sección 3. Los tres Ángulos dan margen positivo en todo el rango, incluido el extremo bajo.</w:t>
      </w:r>
    </w:p>
    <w:p>
      <w:pPr>
        <w:keepNext/>
        <w:spacing w:after="100" w:before="220"/>
      </w:pPr>
      <w:r>
        <w:rPr>
          <w:rFonts w:ascii="Fraunces" w:cs="Fraunces" w:eastAsia="Fraunces" w:hAnsi="Fraunces"/>
          <w:b w:val="false"/>
          <w:bCs w:val="false"/>
          <w:color w:val="14313A"/>
          <w:sz w:val="23"/>
          <w:szCs w:val="23"/>
        </w:rPr>
        <w:t xml:space="preserve">Variables de sensibilidad no cuantificadas todavía</w:t>
      </w:r>
    </w:p>
    <w:p>
      <w:pPr>
        <w:pStyle w:val="ListParagraph"/>
        <w:numPr>
          <w:ilvl w:val="0"/>
          <w:numId w:val="1"/>
        </w:numPr>
        <w:spacing w:after="70"/>
      </w:pPr>
      <w:r>
        <w:rPr>
          <w:rFonts w:ascii="Poppins" w:cs="Poppins" w:eastAsia="Poppins" w:hAnsi="Poppins"/>
          <w:color w:val="2A2620"/>
          <w:sz w:val="20"/>
          <w:szCs w:val="20"/>
        </w:rPr>
        <w:t xml:space="preserve">Plusvalía real de la zona a 2 años (se usó el 20%/año confirmado por el founder para el Escenario C de venta/retención) — es un dato de mercado del founder, no una tasación de tercero.</w:t>
      </w:r>
    </w:p>
    <w:p>
      <w:pPr>
        <w:pStyle w:val="ListParagraph"/>
        <w:numPr>
          <w:ilvl w:val="0"/>
          <w:numId w:val="1"/>
        </w:numPr>
        <w:spacing w:after="70"/>
      </w:pPr>
      <w:r>
        <w:rPr>
          <w:rFonts w:ascii="Poppins" w:cs="Poppins" w:eastAsia="Poppins" w:hAnsi="Poppins"/>
          <w:color w:val="2A2620"/>
          <w:sz w:val="20"/>
          <w:szCs w:val="20"/>
        </w:rPr>
        <w:t xml:space="preserve">Costo de refuerzo estructural del Ángulo 2, si la opinión estructural pendiente determina que hace falta — la única variable de sensibilidad real que sigue sin resolver.</w:t>
      </w:r>
    </w:p>
    <w:p>
      <w:pPr>
        <w:keepNext/>
        <w:spacing w:after="140" w:before="340"/>
      </w:pPr>
      <w:r>
        <w:rPr>
          <w:rFonts w:ascii="Fraunces" w:cs="Fraunces" w:eastAsia="Fraunces" w:hAnsi="Fraunces"/>
          <w:b w:val="false"/>
          <w:bCs w:val="false"/>
          <w:color w:val="A87D22"/>
          <w:sz w:val="30"/>
          <w:szCs w:val="30"/>
        </w:rPr>
        <w:t xml:space="preserve">6.  </w:t>
      </w:r>
      <w:r>
        <w:rPr>
          <w:rFonts w:ascii="Fraunces" w:cs="Fraunces" w:eastAsia="Fraunces" w:hAnsi="Fraunces"/>
          <w:b w:val="false"/>
          <w:bCs w:val="false"/>
          <w:color w:val="14313A"/>
          <w:sz w:val="30"/>
          <w:szCs w:val="30"/>
        </w:rPr>
        <w:t xml:space="preserve">Estructura de financiamiento — el déficit de timing y sus dos soluciones</w:t>
      </w:r>
    </w:p>
    <w:p>
      <w:pPr>
        <w:spacing w:after="120"/>
        <w:jc w:val="both"/>
      </w:pPr>
      <w:r>
        <w:rPr>
          <w:rFonts w:ascii="Poppins" w:cs="Poppins" w:eastAsia="Poppins" w:hAnsi="Poppins"/>
          <w:b w:val="false"/>
          <w:bCs w:val="false"/>
          <w:i w:val="false"/>
          <w:iCs w:val="false"/>
          <w:color w:val="2A2620"/>
          <w:sz w:val="20"/>
          <w:szCs w:val="20"/>
        </w:rPr>
        <w:t xml:space="preserve">Se detectó un déficit real de timing de caja (no de fondos totales): el capital propio, aunque suma exactamente el 70% de la Inversión Total, se agota en el mes 9 de los 12 de obra, porque el cobro de las cuotas de los compradores es más lento que el gasto de construcción. Dos escenarios cierran este déficit por completo, ambos con el saldo de capital propio llegando a cero exactamente en el mes 11:</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3200"/>
        <w:gridCol w:w="2900"/>
        <w:gridCol w:w="2900"/>
      </w:tblGrid>
      <w:tr>
        <w:trPr>
          <w:tblHeader/>
        </w:trPr>
        <w:tc>
          <w:tcPr>
            <w:tcW w:type="dxa" w:w="3200"/>
            <w:shd w:fill="14313A" w:val="clear"/>
            <w:tcMar>
              <w:top w:type="dxa" w:w="70"/>
              <w:left w:type="dxa" w:w="120"/>
              <w:bottom w:type="dxa" w:w="70"/>
              <w:right w:type="dxa" w:w="120"/>
            </w:tcMar>
          </w:tcPr>
          <w:p>
            <w:pPr>
              <w:jc w:val="left"/>
            </w:pPr>
            <w:r>
              <w:rPr>
                <w:rFonts w:ascii="Poppins" w:cs="Poppins" w:eastAsia="Poppins" w:hAnsi="Poppins"/>
                <w:b/>
                <w:bCs/>
                <w:color w:val="FFFFFF"/>
                <w:sz w:val="17"/>
                <w:szCs w:val="17"/>
              </w:rPr>
              <w:t xml:space="preserve"/>
            </w:r>
          </w:p>
        </w:tc>
        <w:tc>
          <w:tcPr>
            <w:tcW w:type="dxa" w:w="2900"/>
            <w:shd w:fill="14313A" w:val="clear"/>
            <w:tcMar>
              <w:top w:type="dxa" w:w="70"/>
              <w:left w:type="dxa" w:w="120"/>
              <w:bottom w:type="dxa" w:w="70"/>
              <w:right w:type="dxa" w:w="120"/>
            </w:tcMar>
          </w:tcPr>
          <w:p>
            <w:pPr>
              <w:jc w:val="left"/>
            </w:pPr>
            <w:r>
              <w:rPr>
                <w:rFonts w:ascii="Poppins" w:cs="Poppins" w:eastAsia="Poppins" w:hAnsi="Poppins"/>
                <w:b/>
                <w:bCs/>
                <w:color w:val="FFFFFF"/>
                <w:sz w:val="17"/>
                <w:szCs w:val="17"/>
              </w:rPr>
              <w:t xml:space="preserve">Escenario 1 (20/70/10 sin cambios)</w:t>
            </w:r>
          </w:p>
        </w:tc>
        <w:tc>
          <w:tcPr>
            <w:tcW w:type="dxa" w:w="2900"/>
            <w:shd w:fill="14313A" w:val="clear"/>
            <w:tcMar>
              <w:top w:type="dxa" w:w="70"/>
              <w:left w:type="dxa" w:w="120"/>
              <w:bottom w:type="dxa" w:w="70"/>
              <w:right w:type="dxa" w:w="120"/>
            </w:tcMar>
          </w:tcPr>
          <w:p>
            <w:pPr>
              <w:jc w:val="left"/>
            </w:pPr>
            <w:r>
              <w:rPr>
                <w:rFonts w:ascii="Poppins" w:cs="Poppins" w:eastAsia="Poppins" w:hAnsi="Poppins"/>
                <w:b/>
                <w:bCs/>
                <w:color w:val="FFFFFF"/>
                <w:sz w:val="17"/>
                <w:szCs w:val="17"/>
              </w:rPr>
              <w:t xml:space="preserve">Escenario Mix (40/50/10)</w:t>
            </w:r>
          </w:p>
        </w:tc>
      </w:tr>
      <w:tr>
        <w:tc>
          <w:tcPr>
            <w:tcW w:type="dxa" w:w="32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Capital propio necesario (Ángulo 2)</w:t>
            </w:r>
          </w:p>
        </w:tc>
        <w:tc>
          <w:tcPr>
            <w:tcW w:type="dxa" w:w="29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USD 2.478.568 (75,71% de IT)</w:t>
            </w:r>
          </w:p>
        </w:tc>
        <w:tc>
          <w:tcPr>
            <w:tcW w:type="dxa" w:w="2900"/>
            <w:tcMar>
              <w:top w:type="dxa" w:w="70"/>
              <w:left w:type="dxa" w:w="120"/>
              <w:bottom w:type="dxa" w:w="70"/>
              <w:right w:type="dxa" w:w="120"/>
            </w:tcMar>
          </w:tcPr>
          <w:p>
            <w:pPr>
              <w:jc w:val="left"/>
            </w:pPr>
            <w:r>
              <w:rPr>
                <w:rFonts w:ascii="Poppins" w:cs="Poppins" w:eastAsia="Poppins" w:hAnsi="Poppins"/>
                <w:b/>
                <w:bCs/>
                <w:color w:val="2A2620"/>
                <w:sz w:val="17"/>
                <w:szCs w:val="17"/>
              </w:rPr>
              <w:t xml:space="preserve">USD 2.423.544 (74,03% de IT)</w:t>
            </w:r>
          </w:p>
        </w:tc>
      </w:tr>
      <w:tr>
        <w:tc>
          <w:tcPr>
            <w:tcW w:type="dxa" w:w="32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Ahorro del Mix frente al Escenario 1</w:t>
            </w:r>
          </w:p>
        </w:tc>
        <w:tc>
          <w:tcPr>
            <w:tcW w:type="dxa" w:w="29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w:t>
            </w:r>
          </w:p>
        </w:tc>
        <w:tc>
          <w:tcPr>
            <w:tcW w:type="dxa" w:w="2900"/>
            <w:shd w:fill="F3EDE3" w:val="clear"/>
            <w:tcMar>
              <w:top w:type="dxa" w:w="70"/>
              <w:left w:type="dxa" w:w="120"/>
              <w:bottom w:type="dxa" w:w="70"/>
              <w:right w:type="dxa" w:w="120"/>
            </w:tcMar>
          </w:tcPr>
          <w:p>
            <w:pPr>
              <w:jc w:val="left"/>
            </w:pPr>
            <w:r>
              <w:rPr>
                <w:rFonts w:ascii="Poppins" w:cs="Poppins" w:eastAsia="Poppins" w:hAnsi="Poppins"/>
                <w:b/>
                <w:bCs/>
                <w:color w:val="2E5C3E"/>
                <w:sz w:val="17"/>
                <w:szCs w:val="17"/>
              </w:rPr>
              <w:t xml:space="preserve">USD 55.024</w:t>
            </w:r>
          </w:p>
        </w:tc>
      </w:tr>
    </w:tbl>
    <w:p>
      <w:pPr>
        <w:spacing w:after="120"/>
      </w:pPr>
      <w:r>
        <w:rPr>
          <w:sz w:val="2"/>
          <w:szCs w:val="2"/>
        </w:rPr>
        <w:t xml:space="preserve"/>
      </w:r>
    </w:p>
    <w:p>
      <w:pPr>
        <w:spacing w:after="120"/>
        <w:jc w:val="both"/>
      </w:pPr>
      <w:r>
        <w:rPr>
          <w:rFonts w:ascii="Poppins" w:cs="Poppins" w:eastAsia="Poppins" w:hAnsi="Poppins"/>
          <w:b w:val="false"/>
          <w:bCs w:val="false"/>
          <w:i w:val="false"/>
          <w:iCs w:val="false"/>
          <w:color w:val="2A2620"/>
          <w:sz w:val="20"/>
          <w:szCs w:val="20"/>
        </w:rPr>
        <w:t xml:space="preserve">Ambos escenarios siguen en paralelo — la recomendación final se presenta con las dos alternativas, no una sola. El esquema 40/50/10 queda registrado como variante para proyectos de plazo de obra corto, no reemplaza la norma general de la empresa.</w:t>
      </w:r>
    </w:p>
    <w:p>
      <w:pPr>
        <w:keepNext/>
        <w:spacing w:after="140" w:before="340"/>
      </w:pPr>
      <w:r>
        <w:rPr>
          <w:rFonts w:ascii="Fraunces" w:cs="Fraunces" w:eastAsia="Fraunces" w:hAnsi="Fraunces"/>
          <w:b w:val="false"/>
          <w:bCs w:val="false"/>
          <w:color w:val="A87D22"/>
          <w:sz w:val="30"/>
          <w:szCs w:val="30"/>
        </w:rPr>
        <w:t xml:space="preserve">7.  </w:t>
      </w:r>
      <w:r>
        <w:rPr>
          <w:rFonts w:ascii="Fraunces" w:cs="Fraunces" w:eastAsia="Fraunces" w:hAnsi="Fraunces"/>
          <w:b w:val="false"/>
          <w:bCs w:val="false"/>
          <w:color w:val="14313A"/>
          <w:sz w:val="30"/>
          <w:szCs w:val="30"/>
        </w:rPr>
        <w:t xml:space="preserve">Estrategia de venta y retención</w:t>
      </w:r>
    </w:p>
    <w:p>
      <w:pPr>
        <w:keepNext/>
        <w:spacing w:after="100" w:before="220"/>
      </w:pPr>
      <w:r>
        <w:rPr>
          <w:rFonts w:ascii="Fraunces" w:cs="Fraunces" w:eastAsia="Fraunces" w:hAnsi="Fraunces"/>
          <w:b w:val="false"/>
          <w:bCs w:val="false"/>
          <w:color w:val="14313A"/>
          <w:sz w:val="23"/>
          <w:szCs w:val="23"/>
        </w:rPr>
        <w:t xml:space="preserve">Mix de producto por tipología</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2200"/>
        <w:gridCol w:w="6800"/>
      </w:tblGrid>
      <w:tr>
        <w:trPr>
          <w:tblHeader/>
        </w:trPr>
        <w:tc>
          <w:tcPr>
            <w:tcW w:type="dxa" w:w="2200"/>
            <w:shd w:fill="14313A" w:val="clear"/>
            <w:tcMar>
              <w:top w:type="dxa" w:w="70"/>
              <w:left w:type="dxa" w:w="120"/>
              <w:bottom w:type="dxa" w:w="70"/>
              <w:right w:type="dxa" w:w="120"/>
            </w:tcMar>
          </w:tcPr>
          <w:p>
            <w:pPr>
              <w:jc w:val="left"/>
            </w:pPr>
            <w:r>
              <w:rPr>
                <w:rFonts w:ascii="Poppins" w:cs="Poppins" w:eastAsia="Poppins" w:hAnsi="Poppins"/>
                <w:b/>
                <w:bCs/>
                <w:color w:val="FFFFFF"/>
                <w:sz w:val="17"/>
                <w:szCs w:val="17"/>
              </w:rPr>
              <w:t xml:space="preserve">Tipología</w:t>
            </w:r>
          </w:p>
        </w:tc>
        <w:tc>
          <w:tcPr>
            <w:tcW w:type="dxa" w:w="6800"/>
            <w:shd w:fill="14313A" w:val="clear"/>
            <w:tcMar>
              <w:top w:type="dxa" w:w="70"/>
              <w:left w:type="dxa" w:w="120"/>
              <w:bottom w:type="dxa" w:w="70"/>
              <w:right w:type="dxa" w:w="120"/>
            </w:tcMar>
          </w:tcPr>
          <w:p>
            <w:pPr>
              <w:jc w:val="left"/>
            </w:pPr>
            <w:r>
              <w:rPr>
                <w:rFonts w:ascii="Poppins" w:cs="Poppins" w:eastAsia="Poppins" w:hAnsi="Poppins"/>
                <w:b/>
                <w:bCs/>
                <w:color w:val="FFFFFF"/>
                <w:sz w:val="17"/>
                <w:szCs w:val="17"/>
              </w:rPr>
              <w:t xml:space="preserve">Solidez para retención</w:t>
            </w:r>
          </w:p>
        </w:tc>
      </w:tr>
      <w:tr>
        <w:tc>
          <w:tcPr>
            <w:tcW w:type="dxa" w:w="22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Monoambiente</w:t>
            </w:r>
          </w:p>
        </w:tc>
        <w:tc>
          <w:tcPr>
            <w:tcW w:type="dxa" w:w="68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La más sólida — supera el piso de renta en todas las combinaciones de producto probadas</w:t>
            </w:r>
          </w:p>
        </w:tc>
      </w:tr>
      <w:tr>
        <w:tc>
          <w:tcPr>
            <w:tcW w:type="dxa" w:w="22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1 dormitorio</w:t>
            </w:r>
          </w:p>
        </w:tc>
        <w:tc>
          <w:tcPr>
            <w:tcW w:type="dxa" w:w="68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Sólida en tradicional/amoblado básico — calidades altas necesitan más dato de zona premium</w:t>
            </w:r>
          </w:p>
        </w:tc>
      </w:tr>
      <w:tr>
        <w:tc>
          <w:tcPr>
            <w:tcW w:type="dxa" w:w="22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2 dormitorios</w:t>
            </w:r>
          </w:p>
        </w:tc>
        <w:tc>
          <w:tcPr>
            <w:tcW w:type="dxa" w:w="68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No alcanza el piso sin amoblar en Herrera — sí amoblada, comparada contra zonas cercanas</w:t>
            </w:r>
          </w:p>
        </w:tc>
      </w:tr>
      <w:tr>
        <w:tc>
          <w:tcPr>
            <w:tcW w:type="dxa" w:w="22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3 dormitorios</w:t>
            </w:r>
          </w:p>
        </w:tc>
        <w:tc>
          <w:tcPr>
            <w:tcW w:type="dxa" w:w="68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Mismo patrón que 2 dormitorios, con demanda real de la zona ya confirmada para el segmento amoblado premium</w:t>
            </w:r>
          </w:p>
        </w:tc>
      </w:tr>
    </w:tbl>
    <w:p>
      <w:pPr>
        <w:spacing w:after="120"/>
      </w:pPr>
      <w:r>
        <w:rPr>
          <w:sz w:val="2"/>
          <w:szCs w:val="2"/>
        </w:rPr>
        <w:t xml:space="preserve"/>
      </w:r>
    </w:p>
    <w:p>
      <w:pPr>
        <w:keepNext/>
        <w:spacing w:after="100" w:before="220"/>
      </w:pPr>
      <w:r>
        <w:rPr>
          <w:rFonts w:ascii="Fraunces" w:cs="Fraunces" w:eastAsia="Fraunces" w:hAnsi="Fraunces"/>
          <w:b w:val="false"/>
          <w:bCs w:val="false"/>
          <w:color w:val="14313A"/>
          <w:sz w:val="23"/>
          <w:szCs w:val="23"/>
        </w:rPr>
        <w:t xml:space="preserve">Los tres escenarios de venta/retención (Ángulo 3, ilustrativo)</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6200"/>
        <w:gridCol w:w="2800"/>
      </w:tblGrid>
      <w:tr>
        <w:trPr>
          <w:tblHeader/>
        </w:trPr>
        <w:tc>
          <w:tcPr>
            <w:tcW w:type="dxa" w:w="6200"/>
            <w:shd w:fill="14313A" w:val="clear"/>
            <w:tcMar>
              <w:top w:type="dxa" w:w="70"/>
              <w:left w:type="dxa" w:w="120"/>
              <w:bottom w:type="dxa" w:w="70"/>
              <w:right w:type="dxa" w:w="120"/>
            </w:tcMar>
          </w:tcPr>
          <w:p>
            <w:pPr>
              <w:jc w:val="left"/>
            </w:pPr>
            <w:r>
              <w:rPr>
                <w:rFonts w:ascii="Poppins" w:cs="Poppins" w:eastAsia="Poppins" w:hAnsi="Poppins"/>
                <w:b/>
                <w:bCs/>
                <w:color w:val="FFFFFF"/>
                <w:sz w:val="17"/>
                <w:szCs w:val="17"/>
              </w:rPr>
              <w:t xml:space="preserve">Escenario</w:t>
            </w:r>
          </w:p>
        </w:tc>
        <w:tc>
          <w:tcPr>
            <w:tcW w:type="dxa" w:w="2800"/>
            <w:shd w:fill="14313A" w:val="clear"/>
            <w:tcMar>
              <w:top w:type="dxa" w:w="70"/>
              <w:left w:type="dxa" w:w="120"/>
              <w:bottom w:type="dxa" w:w="70"/>
              <w:right w:type="dxa" w:w="120"/>
            </w:tcMar>
          </w:tcPr>
          <w:p>
            <w:pPr>
              <w:jc w:val="left"/>
            </w:pPr>
            <w:r>
              <w:rPr>
                <w:rFonts w:ascii="Poppins" w:cs="Poppins" w:eastAsia="Poppins" w:hAnsi="Poppins"/>
                <w:b/>
                <w:bCs/>
                <w:color w:val="FFFFFF"/>
                <w:sz w:val="17"/>
                <w:szCs w:val="17"/>
              </w:rPr>
              <w:t xml:space="preserve">Retorno anualizado</w:t>
            </w:r>
          </w:p>
        </w:tc>
      </w:tr>
      <w:tr>
        <w:tc>
          <w:tcPr>
            <w:tcW w:type="dxa" w:w="62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A — Venta mínima (30%) + retención perpetua</w:t>
            </w:r>
          </w:p>
        </w:tc>
        <w:tc>
          <w:tcPr>
            <w:tcW w:type="dxa" w:w="28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15,0%/año</w:t>
            </w:r>
          </w:p>
        </w:tc>
      </w:tr>
      <w:tr>
        <w:tc>
          <w:tcPr>
            <w:tcW w:type="dxa" w:w="62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B — Venta agresiva (100%, liquidación total)</w:t>
            </w:r>
          </w:p>
        </w:tc>
        <w:tc>
          <w:tcPr>
            <w:tcW w:type="dxa" w:w="28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24,3%/año</w:t>
            </w:r>
          </w:p>
        </w:tc>
      </w:tr>
      <w:tr>
        <w:tc>
          <w:tcPr>
            <w:tcW w:type="dxa" w:w="6200"/>
            <w:tcMar>
              <w:top w:type="dxa" w:w="70"/>
              <w:left w:type="dxa" w:w="120"/>
              <w:bottom w:type="dxa" w:w="70"/>
              <w:right w:type="dxa" w:w="120"/>
            </w:tcMar>
          </w:tcPr>
          <w:p>
            <w:pPr>
              <w:jc w:val="left"/>
            </w:pPr>
            <w:r>
              <w:rPr>
                <w:rFonts w:ascii="Poppins" w:cs="Poppins" w:eastAsia="Poppins" w:hAnsi="Poppins"/>
                <w:b/>
                <w:bCs/>
                <w:color w:val="2A2620"/>
                <w:sz w:val="17"/>
                <w:szCs w:val="17"/>
              </w:rPr>
              <w:t xml:space="preserve">C — Venta mínima (30%) + retención 2 años + reventa con plusvalía (20%/año)</w:t>
            </w:r>
          </w:p>
        </w:tc>
        <w:tc>
          <w:tcPr>
            <w:tcW w:type="dxa" w:w="2800"/>
            <w:tcMar>
              <w:top w:type="dxa" w:w="70"/>
              <w:left w:type="dxa" w:w="120"/>
              <w:bottom w:type="dxa" w:w="70"/>
              <w:right w:type="dxa" w:w="120"/>
            </w:tcMar>
          </w:tcPr>
          <w:p>
            <w:pPr>
              <w:jc w:val="left"/>
            </w:pPr>
            <w:r>
              <w:rPr>
                <w:rFonts w:ascii="Poppins" w:cs="Poppins" w:eastAsia="Poppins" w:hAnsi="Poppins"/>
                <w:b/>
                <w:bCs/>
                <w:color w:val="A87D22"/>
                <w:sz w:val="17"/>
                <w:szCs w:val="17"/>
              </w:rPr>
              <w:t xml:space="preserve">33,4%/año — el más alto, con más riesgo de mercado</w:t>
            </w:r>
          </w:p>
        </w:tc>
      </w:tr>
    </w:tbl>
    <w:p>
      <w:pPr>
        <w:spacing w:after="120"/>
      </w:pPr>
      <w:r>
        <w:rPr>
          <w:sz w:val="2"/>
          <w:szCs w:val="2"/>
        </w:rPr>
        <w:t xml:space="preserve"/>
      </w:r>
    </w:p>
    <w:p>
      <w:pPr>
        <w:spacing w:after="120"/>
        <w:jc w:val="both"/>
      </w:pPr>
      <w:r>
        <w:rPr>
          <w:rFonts w:ascii="Poppins" w:cs="Poppins" w:eastAsia="Poppins" w:hAnsi="Poppins"/>
          <w:b w:val="false"/>
          <w:bCs w:val="false"/>
          <w:i w:val="false"/>
          <w:iCs w:val="false"/>
          <w:color w:val="2A2620"/>
          <w:sz w:val="20"/>
          <w:szCs w:val="20"/>
        </w:rPr>
        <w:t xml:space="preserve">Recomendación de estrategia: partir del mínimo de venta necesario para cerrar el déficit de timing, concentrado en las tipologías de 2/3 dormitorios (las que menos se sostienen en retención sin apoyo de zona premium) — y retener agresivamente monoambiente y 1 dormitorio, que son las que mejor rentabilidad de alquiler sostienen con datos reales propios de la zona.</w:t>
      </w:r>
    </w:p>
    <w:p>
      <w:pPr>
        <w:keepNext/>
        <w:spacing w:after="140" w:before="340"/>
      </w:pPr>
      <w:r>
        <w:rPr>
          <w:rFonts w:ascii="Fraunces" w:cs="Fraunces" w:eastAsia="Fraunces" w:hAnsi="Fraunces"/>
          <w:b w:val="false"/>
          <w:bCs w:val="false"/>
          <w:color w:val="A87D22"/>
          <w:sz w:val="30"/>
          <w:szCs w:val="30"/>
        </w:rPr>
        <w:t xml:space="preserve">8.  </w:t>
      </w:r>
      <w:r>
        <w:rPr>
          <w:rFonts w:ascii="Fraunces" w:cs="Fraunces" w:eastAsia="Fraunces" w:hAnsi="Fraunces"/>
          <w:b w:val="false"/>
          <w:bCs w:val="false"/>
          <w:color w:val="14313A"/>
          <w:sz w:val="30"/>
          <w:szCs w:val="30"/>
        </w:rPr>
        <w:t xml:space="preserve">Matriz de riesgos y checklist de due diligence</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3400"/>
        <w:gridCol w:w="1400"/>
        <w:gridCol w:w="4200"/>
      </w:tblGrid>
      <w:tr>
        <w:trPr>
          <w:tblHeader/>
        </w:trPr>
        <w:tc>
          <w:tcPr>
            <w:tcW w:type="dxa" w:w="3400"/>
            <w:shd w:fill="14313A" w:val="clear"/>
            <w:tcMar>
              <w:top w:type="dxa" w:w="70"/>
              <w:left w:type="dxa" w:w="120"/>
              <w:bottom w:type="dxa" w:w="70"/>
              <w:right w:type="dxa" w:w="120"/>
            </w:tcMar>
          </w:tcPr>
          <w:p>
            <w:pPr>
              <w:jc w:val="left"/>
            </w:pPr>
            <w:r>
              <w:rPr>
                <w:rFonts w:ascii="Poppins" w:cs="Poppins" w:eastAsia="Poppins" w:hAnsi="Poppins"/>
                <w:b/>
                <w:bCs/>
                <w:color w:val="FFFFFF"/>
                <w:sz w:val="17"/>
                <w:szCs w:val="17"/>
              </w:rPr>
              <w:t xml:space="preserve">Riesgo</w:t>
            </w:r>
          </w:p>
        </w:tc>
        <w:tc>
          <w:tcPr>
            <w:tcW w:type="dxa" w:w="1400"/>
            <w:shd w:fill="14313A" w:val="clear"/>
            <w:tcMar>
              <w:top w:type="dxa" w:w="70"/>
              <w:left w:type="dxa" w:w="120"/>
              <w:bottom w:type="dxa" w:w="70"/>
              <w:right w:type="dxa" w:w="120"/>
            </w:tcMar>
          </w:tcPr>
          <w:p>
            <w:pPr>
              <w:jc w:val="left"/>
            </w:pPr>
            <w:r>
              <w:rPr>
                <w:rFonts w:ascii="Poppins" w:cs="Poppins" w:eastAsia="Poppins" w:hAnsi="Poppins"/>
                <w:b/>
                <w:bCs/>
                <w:color w:val="FFFFFF"/>
                <w:sz w:val="17"/>
                <w:szCs w:val="17"/>
              </w:rPr>
              <w:t xml:space="preserve">Categoría</w:t>
            </w:r>
          </w:p>
        </w:tc>
        <w:tc>
          <w:tcPr>
            <w:tcW w:type="dxa" w:w="4200"/>
            <w:shd w:fill="14313A" w:val="clear"/>
            <w:tcMar>
              <w:top w:type="dxa" w:w="70"/>
              <w:left w:type="dxa" w:w="120"/>
              <w:bottom w:type="dxa" w:w="70"/>
              <w:right w:type="dxa" w:w="120"/>
            </w:tcMar>
          </w:tcPr>
          <w:p>
            <w:pPr>
              <w:jc w:val="left"/>
            </w:pPr>
            <w:r>
              <w:rPr>
                <w:rFonts w:ascii="Poppins" w:cs="Poppins" w:eastAsia="Poppins" w:hAnsi="Poppins"/>
                <w:b/>
                <w:bCs/>
                <w:color w:val="FFFFFF"/>
                <w:sz w:val="17"/>
                <w:szCs w:val="17"/>
              </w:rPr>
              <w:t xml:space="preserve">Estado</w:t>
            </w:r>
          </w:p>
        </w:tc>
      </w:tr>
      <w:tr>
        <w:tc>
          <w:tcPr>
            <w:tcW w:type="dxa" w:w="34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Identidad del vendedor actual</w:t>
            </w:r>
          </w:p>
        </w:tc>
        <w:tc>
          <w:tcPr>
            <w:tcW w:type="dxa" w:w="14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Legal</w:t>
            </w:r>
          </w:p>
        </w:tc>
        <w:tc>
          <w:tcPr>
            <w:tcW w:type="dxa" w:w="4200"/>
            <w:shd w:fill="E7EFE9" w:val="clear"/>
            <w:tcMar>
              <w:top w:type="dxa" w:w="70"/>
              <w:left w:type="dxa" w:w="120"/>
              <w:bottom w:type="dxa" w:w="70"/>
              <w:right w:type="dxa" w:w="120"/>
            </w:tcMar>
          </w:tcPr>
          <w:p>
            <w:pPr>
              <w:jc w:val="left"/>
            </w:pPr>
            <w:r>
              <w:rPr>
                <w:rFonts w:ascii="Poppins" w:cs="Poppins" w:eastAsia="Poppins" w:hAnsi="Poppins"/>
                <w:b w:val="false"/>
                <w:bCs w:val="false"/>
                <w:color w:val="2E5C3E"/>
                <w:sz w:val="17"/>
                <w:szCs w:val="17"/>
              </w:rPr>
              <w:t xml:space="preserve">Resuelto — Cristino Silva confirmado como el mismo titular</w:t>
            </w:r>
          </w:p>
        </w:tc>
      </w:tr>
      <w:tr>
        <w:tc>
          <w:tcPr>
            <w:tcW w:type="dxa" w:w="34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Título, gravámenes, embargos</w:t>
            </w:r>
          </w:p>
        </w:tc>
        <w:tc>
          <w:tcPr>
            <w:tcW w:type="dxa" w:w="14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Legal</w:t>
            </w:r>
          </w:p>
        </w:tc>
        <w:tc>
          <w:tcPr>
            <w:tcW w:type="dxa" w:w="4200"/>
            <w:shd w:fill="E7EFE9" w:val="clear"/>
            <w:tcMar>
              <w:top w:type="dxa" w:w="70"/>
              <w:left w:type="dxa" w:w="120"/>
              <w:bottom w:type="dxa" w:w="70"/>
              <w:right w:type="dxa" w:w="120"/>
            </w:tcMar>
          </w:tcPr>
          <w:p>
            <w:pPr>
              <w:jc w:val="left"/>
            </w:pPr>
            <w:r>
              <w:rPr>
                <w:rFonts w:ascii="Poppins" w:cs="Poppins" w:eastAsia="Poppins" w:hAnsi="Poppins"/>
                <w:b w:val="false"/>
                <w:bCs w:val="false"/>
                <w:color w:val="2E5C3E"/>
                <w:sz w:val="17"/>
                <w:szCs w:val="17"/>
              </w:rPr>
              <w:t xml:space="preserve">Resuelto — analizados, todo en orden. Se re-verifica antes del cierre</w:t>
            </w:r>
          </w:p>
        </w:tc>
      </w:tr>
      <w:tr>
        <w:tc>
          <w:tcPr>
            <w:tcW w:type="dxa" w:w="3400"/>
            <w:tcMar>
              <w:top w:type="dxa" w:w="70"/>
              <w:left w:type="dxa" w:w="120"/>
              <w:bottom w:type="dxa" w:w="70"/>
              <w:right w:type="dxa" w:w="120"/>
            </w:tcMar>
          </w:tcPr>
          <w:p>
            <w:pPr>
              <w:jc w:val="left"/>
            </w:pPr>
            <w:r>
              <w:rPr>
                <w:rFonts w:ascii="Poppins" w:cs="Poppins" w:eastAsia="Poppins" w:hAnsi="Poppins"/>
                <w:b/>
                <w:bCs/>
                <w:color w:val="2A2620"/>
                <w:sz w:val="17"/>
                <w:szCs w:val="17"/>
              </w:rPr>
              <w:t xml:space="preserve">Opinión estructural del piso adicional (Ángulo 2)</w:t>
            </w:r>
          </w:p>
        </w:tc>
        <w:tc>
          <w:tcPr>
            <w:tcW w:type="dxa" w:w="14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Técnico</w:t>
            </w:r>
          </w:p>
        </w:tc>
        <w:tc>
          <w:tcPr>
            <w:tcW w:type="dxa" w:w="4200"/>
            <w:shd w:fill="F5E6E2" w:val="clear"/>
            <w:tcMar>
              <w:top w:type="dxa" w:w="70"/>
              <w:left w:type="dxa" w:w="120"/>
              <w:bottom w:type="dxa" w:w="70"/>
              <w:right w:type="dxa" w:w="120"/>
            </w:tcMar>
          </w:tcPr>
          <w:p>
            <w:pPr>
              <w:jc w:val="left"/>
            </w:pPr>
            <w:r>
              <w:rPr>
                <w:rFonts w:ascii="Poppins" w:cs="Poppins" w:eastAsia="Poppins" w:hAnsi="Poppins"/>
                <w:b/>
                <w:bCs/>
                <w:color w:val="9C3B2E"/>
                <w:sz w:val="17"/>
                <w:szCs w:val="17"/>
              </w:rPr>
              <w:t xml:space="preserve">SIN RESOLVER — el único bloqueante real que queda</w:t>
            </w:r>
          </w:p>
        </w:tc>
      </w:tr>
      <w:tr>
        <w:tc>
          <w:tcPr>
            <w:tcW w:type="dxa" w:w="34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Desglose de avance de obra por componente</w:t>
            </w:r>
          </w:p>
        </w:tc>
        <w:tc>
          <w:tcPr>
            <w:tcW w:type="dxa" w:w="14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Técnico</w:t>
            </w:r>
          </w:p>
        </w:tc>
        <w:tc>
          <w:tcPr>
            <w:tcW w:type="dxa" w:w="4200"/>
            <w:shd w:fill="E7EFE9" w:val="clear"/>
            <w:tcMar>
              <w:top w:type="dxa" w:w="70"/>
              <w:left w:type="dxa" w:w="120"/>
              <w:bottom w:type="dxa" w:w="70"/>
              <w:right w:type="dxa" w:w="120"/>
            </w:tcMar>
          </w:tcPr>
          <w:p>
            <w:pPr>
              <w:jc w:val="left"/>
            </w:pPr>
            <w:r>
              <w:rPr>
                <w:rFonts w:ascii="Poppins" w:cs="Poppins" w:eastAsia="Poppins" w:hAnsi="Poppins"/>
                <w:b w:val="false"/>
                <w:bCs w:val="false"/>
                <w:color w:val="2E5C3E"/>
                <w:sz w:val="17"/>
                <w:szCs w:val="17"/>
              </w:rPr>
              <w:t xml:space="preserve">Resuelto — 73,5% es exclusivamente estructura, 0% de mampostería/instalaciones</w:t>
            </w:r>
          </w:p>
        </w:tc>
      </w:tr>
      <w:tr>
        <w:tc>
          <w:tcPr>
            <w:tcW w:type="dxa" w:w="34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Base de cálculo del IVA del desarrollador</w:t>
            </w:r>
          </w:p>
        </w:tc>
        <w:tc>
          <w:tcPr>
            <w:tcW w:type="dxa" w:w="14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Fiscal</w:t>
            </w:r>
          </w:p>
        </w:tc>
        <w:tc>
          <w:tcPr>
            <w:tcW w:type="dxa" w:w="4200"/>
            <w:shd w:fill="E7EFE9" w:val="clear"/>
            <w:tcMar>
              <w:top w:type="dxa" w:w="70"/>
              <w:left w:type="dxa" w:w="120"/>
              <w:bottom w:type="dxa" w:w="70"/>
              <w:right w:type="dxa" w:w="120"/>
            </w:tcMar>
          </w:tcPr>
          <w:p>
            <w:pPr>
              <w:jc w:val="left"/>
            </w:pPr>
            <w:r>
              <w:rPr>
                <w:rFonts w:ascii="Poppins" w:cs="Poppins" w:eastAsia="Poppins" w:hAnsi="Poppins"/>
                <w:b w:val="false"/>
                <w:bCs w:val="false"/>
                <w:color w:val="2E5C3E"/>
                <w:sz w:val="17"/>
                <w:szCs w:val="17"/>
              </w:rPr>
              <w:t xml:space="preserve">Resuelto — 10% sobre el costo total de construcción</w:t>
            </w:r>
          </w:p>
        </w:tc>
      </w:tr>
      <w:tr>
        <w:tc>
          <w:tcPr>
            <w:tcW w:type="dxa" w:w="34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Política de precios de venta vs. comparables</w:t>
            </w:r>
          </w:p>
        </w:tc>
        <w:tc>
          <w:tcPr>
            <w:tcW w:type="dxa" w:w="14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Mercado</w:t>
            </w:r>
          </w:p>
        </w:tc>
        <w:tc>
          <w:tcPr>
            <w:tcW w:type="dxa" w:w="4200"/>
            <w:shd w:fill="E7EFE9" w:val="clear"/>
            <w:tcMar>
              <w:top w:type="dxa" w:w="70"/>
              <w:left w:type="dxa" w:w="120"/>
              <w:bottom w:type="dxa" w:w="70"/>
              <w:right w:type="dxa" w:w="120"/>
            </w:tcMar>
          </w:tcPr>
          <w:p>
            <w:pPr>
              <w:jc w:val="left"/>
            </w:pPr>
            <w:r>
              <w:rPr>
                <w:rFonts w:ascii="Poppins" w:cs="Poppins" w:eastAsia="Poppins" w:hAnsi="Poppins"/>
                <w:b w:val="false"/>
                <w:bCs w:val="false"/>
                <w:color w:val="2E5C3E"/>
                <w:sz w:val="17"/>
                <w:szCs w:val="17"/>
              </w:rPr>
              <w:t xml:space="preserve">Resuelto — rango premium confirmado con respaldo cuantitativo</w:t>
            </w:r>
          </w:p>
        </w:tc>
      </w:tr>
      <w:tr>
        <w:tc>
          <w:tcPr>
            <w:tcW w:type="dxa" w:w="34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Plusvalía de zona a 2 años</w:t>
            </w:r>
          </w:p>
        </w:tc>
        <w:tc>
          <w:tcPr>
            <w:tcW w:type="dxa" w:w="14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Mercado</w:t>
            </w:r>
          </w:p>
        </w:tc>
        <w:tc>
          <w:tcPr>
            <w:tcW w:type="dxa" w:w="4200"/>
            <w:shd w:fill="F6EEDD" w:val="clear"/>
            <w:tcMar>
              <w:top w:type="dxa" w:w="70"/>
              <w:left w:type="dxa" w:w="120"/>
              <w:bottom w:type="dxa" w:w="70"/>
              <w:right w:type="dxa" w:w="120"/>
            </w:tcMar>
          </w:tcPr>
          <w:p>
            <w:pPr>
              <w:jc w:val="left"/>
            </w:pPr>
            <w:r>
              <w:rPr>
                <w:rFonts w:ascii="Poppins" w:cs="Poppins" w:eastAsia="Poppins" w:hAnsi="Poppins"/>
                <w:b w:val="false"/>
                <w:bCs w:val="false"/>
                <w:color w:val="A87D22"/>
                <w:sz w:val="17"/>
                <w:szCs w:val="17"/>
              </w:rPr>
              <w:t xml:space="preserve">Dato del founder, no tasación de tercero</w:t>
            </w:r>
          </w:p>
        </w:tc>
      </w:tr>
      <w:tr>
        <w:tc>
          <w:tcPr>
            <w:tcW w:type="dxa" w:w="34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Costo/plano real del Ángulo 2/3</w:t>
            </w:r>
          </w:p>
        </w:tc>
        <w:tc>
          <w:tcPr>
            <w:tcW w:type="dxa" w:w="14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Ejecución</w:t>
            </w:r>
          </w:p>
        </w:tc>
        <w:tc>
          <w:tcPr>
            <w:tcW w:type="dxa" w:w="4200"/>
            <w:shd w:fill="F6EEDD" w:val="clear"/>
            <w:tcMar>
              <w:top w:type="dxa" w:w="70"/>
              <w:left w:type="dxa" w:w="120"/>
              <w:bottom w:type="dxa" w:w="70"/>
              <w:right w:type="dxa" w:w="120"/>
            </w:tcMar>
          </w:tcPr>
          <w:p>
            <w:pPr>
              <w:jc w:val="left"/>
            </w:pPr>
            <w:r>
              <w:rPr>
                <w:rFonts w:ascii="Poppins" w:cs="Poppins" w:eastAsia="Poppins" w:hAnsi="Poppins"/>
                <w:b w:val="false"/>
                <w:bCs w:val="false"/>
                <w:color w:val="A87D22"/>
                <w:sz w:val="17"/>
                <w:szCs w:val="17"/>
              </w:rPr>
              <w:t xml:space="preserve">El mix de tipologías chicas es ilustrativo, sin plano de arquitecto todavía</w:t>
            </w:r>
          </w:p>
        </w:tc>
      </w:tr>
      <w:tr>
        <w:tc>
          <w:tcPr>
            <w:tcW w:type="dxa" w:w="34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Precio de compra vs. mercado</w:t>
            </w:r>
          </w:p>
        </w:tc>
        <w:tc>
          <w:tcPr>
            <w:tcW w:type="dxa" w:w="14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Financiero</w:t>
            </w:r>
          </w:p>
        </w:tc>
        <w:tc>
          <w:tcPr>
            <w:tcW w:type="dxa" w:w="4200"/>
            <w:shd w:fill="E7EFE9" w:val="clear"/>
            <w:tcMar>
              <w:top w:type="dxa" w:w="70"/>
              <w:left w:type="dxa" w:w="120"/>
              <w:bottom w:type="dxa" w:w="70"/>
              <w:right w:type="dxa" w:w="120"/>
            </w:tcMar>
          </w:tcPr>
          <w:p>
            <w:pPr>
              <w:jc w:val="left"/>
            </w:pPr>
            <w:r>
              <w:rPr>
                <w:rFonts w:ascii="Poppins" w:cs="Poppins" w:eastAsia="Poppins" w:hAnsi="Poppins"/>
                <w:b w:val="false"/>
                <w:bCs w:val="false"/>
                <w:color w:val="2E5C3E"/>
                <w:sz w:val="17"/>
                <w:szCs w:val="17"/>
              </w:rPr>
              <w:t xml:space="preserve">Validado — favorable frente a costo de reposición y comparables de zona</w:t>
            </w:r>
          </w:p>
        </w:tc>
      </w:tr>
      <w:tr>
        <w:tc>
          <w:tcPr>
            <w:tcW w:type="dxa" w:w="34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Valor de terreno dentro del precio de compra</w:t>
            </w:r>
          </w:p>
        </w:tc>
        <w:tc>
          <w:tcPr>
            <w:tcW w:type="dxa" w:w="14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Financiero</w:t>
            </w:r>
          </w:p>
        </w:tc>
        <w:tc>
          <w:tcPr>
            <w:tcW w:type="dxa" w:w="4200"/>
            <w:shd w:fill="F6EEDD" w:val="clear"/>
            <w:tcMar>
              <w:top w:type="dxa" w:w="70"/>
              <w:left w:type="dxa" w:w="120"/>
              <w:bottom w:type="dxa" w:w="70"/>
              <w:right w:type="dxa" w:w="120"/>
            </w:tcMar>
          </w:tcPr>
          <w:p>
            <w:pPr>
              <w:jc w:val="left"/>
            </w:pPr>
            <w:r>
              <w:rPr>
                <w:rFonts w:ascii="Poppins" w:cs="Poppins" w:eastAsia="Poppins" w:hAnsi="Poppins"/>
                <w:b w:val="false"/>
                <w:bCs w:val="false"/>
                <w:color w:val="A87D22"/>
                <w:sz w:val="17"/>
                <w:szCs w:val="17"/>
              </w:rPr>
              <w:t xml:space="preserve">AMC de tercero sugiere USD 178.500-203.500 vs. USD 360.000 asignados — brecha documentada, no cambia el precio total ni el margen. Ver Data Room</w:t>
            </w:r>
          </w:p>
        </w:tc>
      </w:tr>
      <w:tr>
        <w:tc>
          <w:tcPr>
            <w:tcW w:type="dxa" w:w="34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Márgenes financieros</w:t>
            </w:r>
          </w:p>
        </w:tc>
        <w:tc>
          <w:tcPr>
            <w:tcW w:type="dxa" w:w="14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Financiero</w:t>
            </w:r>
          </w:p>
        </w:tc>
        <w:tc>
          <w:tcPr>
            <w:tcW w:type="dxa" w:w="4200"/>
            <w:shd w:fill="E7EFE9" w:val="clear"/>
            <w:tcMar>
              <w:top w:type="dxa" w:w="70"/>
              <w:left w:type="dxa" w:w="120"/>
              <w:bottom w:type="dxa" w:w="70"/>
              <w:right w:type="dxa" w:w="120"/>
            </w:tcMar>
          </w:tcPr>
          <w:p>
            <w:pPr>
              <w:jc w:val="left"/>
            </w:pPr>
            <w:r>
              <w:rPr>
                <w:rFonts w:ascii="Poppins" w:cs="Poppins" w:eastAsia="Poppins" w:hAnsi="Poppins"/>
                <w:b w:val="false"/>
                <w:bCs w:val="false"/>
                <w:color w:val="2E5C3E"/>
                <w:sz w:val="17"/>
                <w:szCs w:val="17"/>
              </w:rPr>
              <w:t xml:space="preserve">Positivos en los 3 Ángulos, en todo el rango de precio</w:t>
            </w:r>
          </w:p>
        </w:tc>
      </w:tr>
      <w:tr>
        <w:tc>
          <w:tcPr>
            <w:tcW w:type="dxa" w:w="34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Estructura de financiamiento</w:t>
            </w:r>
          </w:p>
        </w:tc>
        <w:tc>
          <w:tcPr>
            <w:tcW w:type="dxa" w:w="1400"/>
            <w:shd w:fill="F3EDE3" w:val="clear"/>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Financiero</w:t>
            </w:r>
          </w:p>
        </w:tc>
        <w:tc>
          <w:tcPr>
            <w:tcW w:type="dxa" w:w="4200"/>
            <w:shd w:fill="E7EFE9" w:val="clear"/>
            <w:tcMar>
              <w:top w:type="dxa" w:w="70"/>
              <w:left w:type="dxa" w:w="120"/>
              <w:bottom w:type="dxa" w:w="70"/>
              <w:right w:type="dxa" w:w="120"/>
            </w:tcMar>
          </w:tcPr>
          <w:p>
            <w:pPr>
              <w:jc w:val="left"/>
            </w:pPr>
            <w:r>
              <w:rPr>
                <w:rFonts w:ascii="Poppins" w:cs="Poppins" w:eastAsia="Poppins" w:hAnsi="Poppins"/>
                <w:b w:val="false"/>
                <w:bCs w:val="false"/>
                <w:color w:val="2E5C3E"/>
                <w:sz w:val="17"/>
                <w:szCs w:val="17"/>
              </w:rPr>
              <w:t xml:space="preserve">Déficit de timing detectado y resuelto con dos escenarios viables</w:t>
            </w:r>
          </w:p>
        </w:tc>
      </w:tr>
      <w:tr>
        <w:tc>
          <w:tcPr>
            <w:tcW w:type="dxa" w:w="34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Demanda de mercado</w:t>
            </w:r>
          </w:p>
        </w:tc>
        <w:tc>
          <w:tcPr>
            <w:tcW w:type="dxa" w:w="1400"/>
            <w:tcMar>
              <w:top w:type="dxa" w:w="70"/>
              <w:left w:type="dxa" w:w="120"/>
              <w:bottom w:type="dxa" w:w="70"/>
              <w:right w:type="dxa" w:w="120"/>
            </w:tcMar>
          </w:tcPr>
          <w:p>
            <w:pPr>
              <w:jc w:val="left"/>
            </w:pPr>
            <w:r>
              <w:rPr>
                <w:rFonts w:ascii="Poppins" w:cs="Poppins" w:eastAsia="Poppins" w:hAnsi="Poppins"/>
                <w:b w:val="false"/>
                <w:bCs w:val="false"/>
                <w:color w:val="2A2620"/>
                <w:sz w:val="17"/>
                <w:szCs w:val="17"/>
              </w:rPr>
              <w:t xml:space="preserve">Mercado</w:t>
            </w:r>
          </w:p>
        </w:tc>
        <w:tc>
          <w:tcPr>
            <w:tcW w:type="dxa" w:w="4200"/>
            <w:shd w:fill="E7EFE9" w:val="clear"/>
            <w:tcMar>
              <w:top w:type="dxa" w:w="70"/>
              <w:left w:type="dxa" w:w="120"/>
              <w:bottom w:type="dxa" w:w="70"/>
              <w:right w:type="dxa" w:w="120"/>
            </w:tcMar>
          </w:tcPr>
          <w:p>
            <w:pPr>
              <w:jc w:val="left"/>
            </w:pPr>
            <w:r>
              <w:rPr>
                <w:rFonts w:ascii="Poppins" w:cs="Poppins" w:eastAsia="Poppins" w:hAnsi="Poppins"/>
                <w:b w:val="false"/>
                <w:bCs w:val="false"/>
                <w:color w:val="2E5C3E"/>
                <w:sz w:val="17"/>
                <w:szCs w:val="17"/>
              </w:rPr>
              <w:t xml:space="preserve">Confirmada por el founder y datos reales</w:t>
            </w:r>
          </w:p>
        </w:tc>
      </w:tr>
    </w:tbl>
    <w:p>
      <w:pPr>
        <w:keepNext/>
        <w:spacing w:after="140" w:before="340"/>
      </w:pPr>
      <w:r>
        <w:rPr>
          <w:rFonts w:ascii="Fraunces" w:cs="Fraunces" w:eastAsia="Fraunces" w:hAnsi="Fraunces"/>
          <w:b w:val="false"/>
          <w:bCs w:val="false"/>
          <w:color w:val="A87D22"/>
          <w:sz w:val="30"/>
          <w:szCs w:val="30"/>
        </w:rPr>
        <w:t xml:space="preserve">9.  </w:t>
      </w:r>
      <w:r>
        <w:rPr>
          <w:rFonts w:ascii="Fraunces" w:cs="Fraunces" w:eastAsia="Fraunces" w:hAnsi="Fraunces"/>
          <w:b w:val="false"/>
          <w:bCs w:val="false"/>
          <w:color w:val="14313A"/>
          <w:sz w:val="30"/>
          <w:szCs w:val="30"/>
        </w:rPr>
        <w:t xml:space="preserve">Recomendación final, en detalle</w:t>
      </w:r>
    </w:p>
    <w:p>
      <w:pPr>
        <w:keepNext/>
        <w:spacing w:after="100" w:before="220"/>
      </w:pPr>
      <w:r>
        <w:rPr>
          <w:rFonts w:ascii="Fraunces" w:cs="Fraunces" w:eastAsia="Fraunces" w:hAnsi="Fraunces"/>
          <w:b w:val="false"/>
          <w:bCs w:val="false"/>
          <w:color w:val="14313A"/>
          <w:sz w:val="23"/>
          <w:szCs w:val="23"/>
        </w:rPr>
        <w:t xml:space="preserve">9.1  Por qué no es un "comprar" incondicional</w:t>
      </w:r>
    </w:p>
    <w:p>
      <w:pPr>
        <w:spacing w:after="120"/>
        <w:jc w:val="both"/>
      </w:pPr>
      <w:r>
        <w:rPr>
          <w:rFonts w:ascii="Poppins" w:cs="Poppins" w:eastAsia="Poppins" w:hAnsi="Poppins"/>
          <w:b w:val="false"/>
          <w:bCs w:val="false"/>
          <w:i w:val="false"/>
          <w:iCs w:val="false"/>
          <w:color w:val="2A2620"/>
          <w:sz w:val="20"/>
          <w:szCs w:val="20"/>
        </w:rPr>
        <w:t xml:space="preserve">De los tres ítems bloqueantes originales, dos ya se resolvieron (identidad del vendedor, título/gravámenes). Queda uno solo, pero sigue siendo suficiente para no recomendar un "comprar" sin condiciones: la opinión estructural sobre el piso adicional del Ángulo 2 — es capaz de cambiar la decisión por sí sola si determina que hace falta un refuerzo estructural mayor no presupuestado.</w:t>
      </w:r>
    </w:p>
    <w:p>
      <w:pPr>
        <w:keepNext/>
        <w:spacing w:after="100" w:before="220"/>
      </w:pPr>
      <w:r>
        <w:rPr>
          <w:rFonts w:ascii="Fraunces" w:cs="Fraunces" w:eastAsia="Fraunces" w:hAnsi="Fraunces"/>
          <w:b w:val="false"/>
          <w:bCs w:val="false"/>
          <w:color w:val="14313A"/>
          <w:sz w:val="23"/>
          <w:szCs w:val="23"/>
        </w:rPr>
        <w:t xml:space="preserve">9.2  Por qué no es un "no comprar"</w:t>
      </w:r>
    </w:p>
    <w:p>
      <w:pPr>
        <w:spacing w:after="120"/>
        <w:jc w:val="both"/>
      </w:pPr>
      <w:r>
        <w:rPr>
          <w:rFonts w:ascii="Poppins" w:cs="Poppins" w:eastAsia="Poppins" w:hAnsi="Poppins"/>
          <w:b w:val="false"/>
          <w:bCs w:val="false"/>
          <w:i w:val="false"/>
          <w:iCs w:val="false"/>
          <w:color w:val="2A2620"/>
          <w:sz w:val="20"/>
          <w:szCs w:val="20"/>
        </w:rPr>
        <w:t xml:space="preserve">Todo lo que sí se pudo verificar apunta a favor: el precio de compra total es defendible frente a costo de reposición y comparables directos de zona; los tres Ángulos de diseño dan margen positivo en todo el rango de sensibilidad de precio; el déficit de caja detectado tiene solución concreta y ya modelada; la demanda de la zona está confirmada con datos reales, no solo con el criterio del founder. Salvedad agregada 2026-08-18: el AMC real de terreno sugiere que el desglose interno del precio (terreno USD 360.000) no está respaldado por comparables de mercado — no cambia el precio total ni el margen, pero se recomienda una tasación formal del terreno antes de tratar ese desglose como definitivo.</w:t>
      </w:r>
    </w:p>
    <w:p>
      <w:pPr>
        <w:keepNext/>
        <w:spacing w:after="100" w:before="220"/>
      </w:pPr>
      <w:r>
        <w:rPr>
          <w:rFonts w:ascii="Fraunces" w:cs="Fraunces" w:eastAsia="Fraunces" w:hAnsi="Fraunces"/>
          <w:b w:val="false"/>
          <w:bCs w:val="false"/>
          <w:color w:val="14313A"/>
          <w:sz w:val="23"/>
          <w:szCs w:val="23"/>
        </w:rPr>
        <w:t xml:space="preserve">9.3  La recomendación — negociar y condicionar el cierre</w:t>
      </w:r>
    </w:p>
    <w:p>
      <w:pPr>
        <w:pStyle w:val="ListParagraph"/>
        <w:numPr>
          <w:ilvl w:val="0"/>
          <w:numId w:val="2"/>
        </w:numPr>
        <w:spacing w:after="100"/>
      </w:pPr>
      <w:r>
        <w:rPr>
          <w:rFonts w:ascii="Poppins" w:cs="Poppins" w:eastAsia="Poppins" w:hAnsi="Poppins"/>
          <w:color w:val="2A2620"/>
          <w:sz w:val="20"/>
          <w:szCs w:val="20"/>
        </w:rPr>
        <w:t xml:space="preserve">Avanzar a la etapa de negociación de términos finales del boleto de compraventa, sobre la base del Ángulo 2 como diseño objetivo, con el Ángulo 1 como alternativa de menor riesgo de ejecución si el rediseño no avanza a tiempo. El proceso de cierre sigue la secuencia estándar confirmada (certificados de dominio/inhibición → 20% de seña → boleto → escritura contra verificación final).</w:t>
      </w:r>
    </w:p>
    <w:p>
      <w:pPr>
        <w:pStyle w:val="ListParagraph"/>
        <w:numPr>
          <w:ilvl w:val="0"/>
          <w:numId w:val="2"/>
        </w:numPr>
        <w:spacing w:after="100"/>
      </w:pPr>
      <w:r>
        <w:rPr>
          <w:rFonts w:ascii="Poppins" w:cs="Poppins" w:eastAsia="Poppins" w:hAnsi="Poppins"/>
          <w:color w:val="2A2620"/>
          <w:sz w:val="20"/>
          <w:szCs w:val="20"/>
        </w:rPr>
        <w:t xml:space="preserve">Condicionar el cierre (cláusula suspensiva) a la opinión estructural profesional sobre el piso adicional — el único ítem legal/técnico que sigue sin resolver.</w:t>
      </w:r>
    </w:p>
    <w:p>
      <w:pPr>
        <w:pStyle w:val="ListParagraph"/>
        <w:numPr>
          <w:ilvl w:val="0"/>
          <w:numId w:val="2"/>
        </w:numPr>
        <w:spacing w:after="100"/>
      </w:pPr>
      <w:r>
        <w:rPr>
          <w:rFonts w:ascii="Poppins" w:cs="Poppins" w:eastAsia="Poppins" w:hAnsi="Poppins"/>
          <w:color w:val="2A2620"/>
          <w:sz w:val="20"/>
          <w:szCs w:val="20"/>
        </w:rPr>
        <w:t xml:space="preserve">Definir, antes del cierre, cuál de los dos escenarios de financiamiento (Escenario 1 o Mix) se usa — ambos son viables, la diferencia es cuánto capital propio adicional se compromete.</w:t>
      </w:r>
    </w:p>
    <w:p>
      <w:pPr>
        <w:pStyle w:val="ListParagraph"/>
        <w:numPr>
          <w:ilvl w:val="0"/>
          <w:numId w:val="2"/>
        </w:numPr>
        <w:spacing w:after="100"/>
      </w:pPr>
      <w:r>
        <w:rPr>
          <w:rFonts w:ascii="Poppins" w:cs="Poppins" w:eastAsia="Poppins" w:hAnsi="Poppins"/>
          <w:color w:val="2A2620"/>
          <w:sz w:val="20"/>
          <w:szCs w:val="20"/>
        </w:rPr>
        <w:t xml:space="preserve">No comprometer el 100% de la estrategia de venta/retención a la plusvalía de 2 años (Escenario C) — usarla como objetivo para las unidades chicas, y mantener venta activa de 2/3 dormitorios salvo que se confirme demanda real de zona premium para esas tipologías en Herrera específicamente.</w:t>
      </w:r>
    </w:p>
    <w:p>
      <w:pPr>
        <w:keepNext/>
        <w:spacing w:after="140" w:before="340"/>
      </w:pPr>
      <w:r>
        <w:rPr>
          <w:rFonts w:ascii="Fraunces" w:cs="Fraunces" w:eastAsia="Fraunces" w:hAnsi="Fraunces"/>
          <w:b w:val="false"/>
          <w:bCs w:val="false"/>
          <w:color w:val="A87D22"/>
          <w:sz w:val="30"/>
          <w:szCs w:val="30"/>
        </w:rPr>
        <w:t xml:space="preserve">10.  </w:t>
      </w:r>
      <w:r>
        <w:rPr>
          <w:rFonts w:ascii="Fraunces" w:cs="Fraunces" w:eastAsia="Fraunces" w:hAnsi="Fraunces"/>
          <w:b w:val="false"/>
          <w:bCs w:val="false"/>
          <w:color w:val="14313A"/>
          <w:sz w:val="30"/>
          <w:szCs w:val="30"/>
        </w:rPr>
        <w:t xml:space="preserve">Qué queda pendiente, incluso después de este memorándum</w:t>
      </w:r>
    </w:p>
    <w:p>
      <w:pPr>
        <w:pStyle w:val="ListParagraph"/>
        <w:numPr>
          <w:ilvl w:val="0"/>
          <w:numId w:val="1"/>
        </w:numPr>
        <w:spacing w:after="70"/>
      </w:pPr>
      <w:r>
        <w:rPr>
          <w:rFonts w:ascii="Poppins" w:cs="Poppins" w:eastAsia="Poppins" w:hAnsi="Poppins"/>
          <w:color w:val="2A2620"/>
          <w:sz w:val="20"/>
          <w:szCs w:val="20"/>
        </w:rPr>
        <w:t xml:space="preserve">La opinión estructural sobre el piso adicional — el único bloqueante real que sigue sin resolver.</w:t>
      </w:r>
    </w:p>
    <w:p>
      <w:pPr>
        <w:pStyle w:val="ListParagraph"/>
        <w:numPr>
          <w:ilvl w:val="0"/>
          <w:numId w:val="1"/>
        </w:numPr>
        <w:spacing w:after="70"/>
      </w:pPr>
      <w:r>
        <w:rPr>
          <w:rFonts w:ascii="Poppins" w:cs="Poppins" w:eastAsia="Poppins" w:hAnsi="Poppins"/>
          <w:color w:val="2A2620"/>
          <w:sz w:val="20"/>
          <w:szCs w:val="20"/>
        </w:rPr>
        <w:t xml:space="preserve">Replicar la comparación de escenarios de venta/retención para Ángulo 1 y Ángulo 2 (solo se cubrió Ángulo 3).</w:t>
      </w:r>
    </w:p>
    <w:p>
      <w:pPr>
        <w:pStyle w:val="ListParagraph"/>
        <w:numPr>
          <w:ilvl w:val="0"/>
          <w:numId w:val="1"/>
        </w:numPr>
        <w:spacing w:after="70"/>
      </w:pPr>
      <w:r>
        <w:rPr>
          <w:rFonts w:ascii="Poppins" w:cs="Poppins" w:eastAsia="Poppins" w:hAnsi="Poppins"/>
          <w:color w:val="2A2620"/>
          <w:sz w:val="20"/>
          <w:szCs w:val="20"/>
        </w:rPr>
        <w:t xml:space="preserve">Definir el mix real de unidades a retener por tipología, con precisión.</w:t>
      </w:r>
    </w:p>
    <w:p>
      <w:pPr>
        <w:pStyle w:val="ListParagraph"/>
        <w:numPr>
          <w:ilvl w:val="0"/>
          <w:numId w:val="1"/>
        </w:numPr>
        <w:spacing w:after="70"/>
      </w:pPr>
      <w:r>
        <w:rPr>
          <w:rFonts w:ascii="Poppins" w:cs="Poppins" w:eastAsia="Poppins" w:hAnsi="Poppins"/>
          <w:color w:val="2A2620"/>
          <w:sz w:val="20"/>
          <w:szCs w:val="20"/>
        </w:rPr>
        <w:t xml:space="preserve">Confirmar las "zonas definitivas" del ranking de barrios, y seguir completando las tablas de tarifas de alquiler y valor de venta.</w:t>
      </w:r>
    </w:p>
    <w:p>
      <w:pPr>
        <w:pStyle w:val="ListParagraph"/>
        <w:numPr>
          <w:ilvl w:val="0"/>
          <w:numId w:val="1"/>
        </w:numPr>
        <w:spacing w:after="70"/>
      </w:pPr>
      <w:r>
        <w:rPr>
          <w:rFonts w:ascii="Poppins" w:cs="Poppins" w:eastAsia="Poppins" w:hAnsi="Poppins"/>
          <w:color w:val="2A2620"/>
          <w:sz w:val="20"/>
          <w:szCs w:val="20"/>
        </w:rPr>
        <w:t xml:space="preserve">Si se pide: presentación simplificada para inversores — no se construyó en este documento.</w:t>
      </w:r>
    </w:p>
    <w:p>
      <w:r>
        <w:br w:type="page"/>
      </w:r>
    </w:p>
    <w:p>
      <w:pPr>
        <w:pBdr>
          <w:top w:val="single" w:color="DAD2C0" w:sz="6"/>
        </w:pBdr>
        <w:spacing w:after="160" w:before="160"/>
      </w:pPr>
      <w:r>
        <w:rPr>
          <w:sz w:val="2"/>
          <w:szCs w:val="2"/>
        </w:rPr>
        <w:t xml:space="preserve"/>
      </w:r>
    </w:p>
    <w:p>
      <w:pPr>
        <w:keepNext/>
        <w:spacing w:after="100" w:before="220"/>
      </w:pPr>
      <w:r>
        <w:rPr>
          <w:rFonts w:ascii="Fraunces" w:cs="Fraunces" w:eastAsia="Fraunces" w:hAnsi="Fraunces"/>
          <w:b w:val="false"/>
          <w:bCs w:val="false"/>
          <w:color w:val="14313A"/>
          <w:sz w:val="23"/>
          <w:szCs w:val="23"/>
        </w:rPr>
        <w:t xml:space="preserve">Nota metodológica</w:t>
      </w:r>
    </w:p>
    <w:p>
      <w:pPr>
        <w:spacing w:after="120"/>
        <w:jc w:val="both"/>
      </w:pPr>
      <w:r>
        <w:rPr>
          <w:rFonts w:ascii="Poppins" w:cs="Poppins" w:eastAsia="Poppins" w:hAnsi="Poppins"/>
          <w:b w:val="false"/>
          <w:bCs w:val="false"/>
          <w:i/>
          <w:iCs/>
          <w:color w:val="5A544C"/>
          <w:sz w:val="18"/>
          <w:szCs w:val="18"/>
        </w:rPr>
        <w:t xml:space="preserve">Este memorándum sigue el protocolo "Investment Real Estate Analysis System" — cada cifra está clasificada según su nivel de confirmación (dato confirmado, calculado, estimado o pendiente de verificar) en la documentación de trabajo completa del caso, disponible en contracts/cases/HERRERA-001/. Este documento es una síntesis para lectura ejecutiva; el respaldo detallado de cada número (39 documentos de trabajo) está disponible bajo pedido.</w:t>
      </w:r>
    </w:p>
    <w:p>
      <w:pPr>
        <w:spacing w:after="200"/>
      </w:pPr>
      <w:r>
        <w:rPr>
          <w:sz w:val="2"/>
          <w:szCs w:val="2"/>
        </w:rPr>
        <w:t xml:space="preserve"/>
      </w:r>
    </w:p>
    <w:p>
      <w:pPr>
        <w:spacing w:after="20"/>
      </w:pPr>
      <w:r>
        <w:rPr>
          <w:rFonts w:ascii="Fraunces" w:cs="Fraunces" w:eastAsia="Fraunces" w:hAnsi="Fraunces"/>
          <w:color w:val="14313A"/>
          <w:sz w:val="22"/>
          <w:szCs w:val="22"/>
        </w:rPr>
        <w:t xml:space="preserve">Juan José Castillo</w:t>
      </w:r>
    </w:p>
    <w:p>
      <w:pPr>
        <w:spacing w:after="20"/>
      </w:pPr>
      <w:r>
        <w:rPr>
          <w:rFonts w:ascii="Poppins" w:cs="Poppins" w:eastAsia="Poppins" w:hAnsi="Poppins"/>
          <w:color w:val="2A2620"/>
          <w:sz w:val="18"/>
          <w:szCs w:val="18"/>
        </w:rPr>
        <w:t xml:space="preserve">Operador Técnico y Legal de Inversiones Inmobiliarias · Asunción, Paraguay</w:t>
      </w:r>
    </w:p>
    <w:p>
      <w:r>
        <w:rPr>
          <w:rFonts w:ascii="Poppins" w:cs="Poppins" w:eastAsia="Poppins" w:hAnsi="Poppins"/>
          <w:color w:val="5A544C"/>
          <w:sz w:val="18"/>
          <w:szCs w:val="18"/>
        </w:rPr>
        <w:t xml:space="preserve">+595 982 853 111 · juancastillo@meridianocapital.net · www.meridianocapital.net</w:t>
      </w:r>
    </w:p>
    <w:sectPr>
      <w:footerReference w:type="default" r:id="rId7"/>
      <w:pgSz w:w="11906" w:h="16838" w:orient="portrait"/>
      <w:pgMar w:top="10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5A544C"/>
        <w:sz w:val="15"/>
        <w:szCs w:val="15"/>
      </w:rPr>
      <w:t xml:space="preserve">Meridiano Capital · Memorándum de Inversión HERRERA-001 · Confidencial · Página </w:t>
    </w:r>
    <w:r>
      <w:rPr>
        <w:rFonts w:ascii="Poppins" w:cs="Poppins" w:eastAsia="Poppins" w:hAnsi="Poppins"/>
        <w:color w:val="5A544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rFonts w:ascii="Poppins" w:cs="Poppins" w:eastAsia="Poppins" w:hAnsi="Poppins"/>
        <w:b/>
        <w:bCs/>
        <w:color w:val="8B33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f209c9b49b461006cdcbe5c68aad156aa42f9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Memorándum de Inversión — HERRERA-001</dc:title>
  <dc:creator>Meridiano Capital</dc:creator>
  <cp:lastModifiedBy>Un-named</cp:lastModifiedBy>
  <cp:revision>1</cp:revision>
  <dcterms:created xsi:type="dcterms:W3CDTF">2026-08-18T20:32:38.691Z</dcterms:created>
  <dcterms:modified xsi:type="dcterms:W3CDTF">2026-08-18T20:32:38.697Z</dcterms:modified>
</cp:coreProperties>
</file>

<file path=docProps/custom.xml><?xml version="1.0" encoding="utf-8"?>
<Properties xmlns="http://schemas.openxmlformats.org/officeDocument/2006/custom-properties" xmlns:vt="http://schemas.openxmlformats.org/officeDocument/2006/docPropsVTypes"/>
</file>