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80" w:after="20" w:line="250" w:lineRule="auto"/>
        <w:jc w:val="center"/>
      </w:pPr>
      <w:r>
        <w:rPr>
          <w:rFonts w:ascii="Fraunces" w:hAnsi="Fraunces" w:eastAsia="Fraunces"/>
          <w:b w:val="0"/>
          <w:i w:val="0"/>
          <w:color w:val="14313A"/>
          <w:sz w:val="29"/>
          <w:spacing w:val="30"/>
        </w:rPr>
        <w:t>RESPUESTA A PROPUESTA DE COMPRA Y CONTRAOFERTA</w:t>
      </w:r>
    </w:p>
    <w:p>
      <w:pPr>
        <w:keepNext w:val="0"/>
        <w:spacing w:before="0" w:after="0" w:line="250" w:lineRule="auto"/>
        <w:jc w:val="center"/>
      </w:pPr>
      <w:r>
        <w:rPr>
          <w:rFonts w:ascii="Poppins" w:hAnsi="Poppins" w:eastAsia="Poppins"/>
          <w:b w:val="0"/>
          <w:i w:val="0"/>
          <w:color w:val="6B6154"/>
          <w:sz w:val="19"/>
        </w:rPr>
        <w:t>Edificio Inox · Avda. República Argentina esquina Tobatí · Asunción</w:t>
      </w:r>
    </w:p>
    <w:p>
      <w:pPr>
        <w:keepNext w:val="0"/>
        <w:spacing w:before="40" w:after="80" w:line="250" w:lineRule="auto"/>
        <w:jc w:val="both"/>
        <w:pBdr>
          <w:bottom w:val="single" w:sz="4" w:color="DAD2C0"/>
        </w:pBdr>
      </w:pPr>
    </w:p>
    <w:p>
      <w:pPr>
        <w:keepNext w:val="0"/>
        <w:spacing w:before="0" w:after="0" w:line="250" w:lineRule="auto"/>
        <w:jc w:val="right"/>
      </w:pPr>
      <w:r>
        <w:rPr>
          <w:rFonts w:ascii="Poppins" w:hAnsi="Poppins" w:eastAsia="Poppins"/>
          <w:b w:val="0"/>
          <w:i w:val="0"/>
          <w:color w:val="A87D22"/>
          <w:sz w:val="19"/>
        </w:rPr>
        <w:t>Asunción, 23 de octubre de 2026</w:t>
      </w:r>
    </w:p>
    <w:p>
      <w:pPr>
        <w:keepNext w:val="0"/>
        <w:spacing w:before="0" w:after="120" w:line="250" w:lineRule="auto"/>
        <w:jc w:val="right"/>
      </w:pPr>
      <w:r>
        <w:rPr>
          <w:rFonts w:ascii="Poppins" w:hAnsi="Poppins" w:eastAsia="Poppins"/>
          <w:b w:val="0"/>
          <w:i w:val="0"/>
          <w:color w:val="6B6154"/>
          <w:sz w:val="15"/>
        </w:rPr>
        <w:t>Ref. interna: REPARG-001-CO01 · v3</w:t>
      </w:r>
    </w:p>
    <w:tbl>
      <w:tblPr>
        <w:tblW w:type="dxa" w:w="9639"/>
        <w:tblLook w:firstColumn="1" w:firstRow="1" w:lastColumn="0" w:lastRow="0" w:noHBand="0" w:noVBand="1" w:val="04A0"/>
        <w:jc w:val="center"/>
        <w:tblBorders>
          <w:top w:val="single" w:sz="4" w:color="DAD2C0"/>
          <w:left w:val="single" w:sz="4" w:color="DAD2C0"/>
          <w:bottom w:val="single" w:sz="4" w:color="DAD2C0"/>
          <w:right w:val="single" w:sz="4" w:color="DAD2C0"/>
          <w:insideH w:val="single" w:sz="4" w:color="DAD2C0"/>
          <w:insideV w:val="single" w:sz="4" w:color="DAD2C0"/>
        </w:tblBorders>
        <w:tblLayout w:type="fixed"/>
        <w:tblCellMar>
          <w:top w:w="30" w:type="dxa"/>
          <w:bottom w:w="30" w:type="dxa"/>
          <w:left w:w="110" w:type="dxa"/>
          <w:right w:w="110" w:type="dxa"/>
        </w:tblCellMar>
        <w:tblLayout w:type="fixed"/>
      </w:tblPr>
      <w:tblGrid>
        <w:gridCol w:w="2835"/>
        <w:gridCol w:w="6803"/>
      </w:tblGrid>
      <w:tr>
        <w:trPr>
          <w:cantSplit/>
        </w:trPr>
        <w:tc>
          <w:tcPr>
            <w:tcW w:type="dxa" w:w="2835"/>
            <w:shd w:val="clear" w:color="auto" w:fill="14313A"/>
            <w:vAlign w:val="center"/>
          </w:tcPr>
          <w:p>
            <w:pPr>
              <w:spacing w:after="0"/>
              <w:jc w:val="left"/>
            </w:pPr>
            <w:r>
              <w:rPr>
                <w:rFonts w:ascii="Poppins" w:hAnsi="Poppins" w:eastAsia="Poppins"/>
                <w:b/>
                <w:i w:val="0"/>
                <w:color w:val="FFFFFF"/>
                <w:sz w:val="15"/>
              </w:rPr>
              <w:t>COMPRADOR / OFERENTE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  <w:jc w:val="left"/>
            </w:pPr>
            <w:r>
              <w:rPr>
                <w:rFonts w:ascii="Poppins" w:hAnsi="Poppins" w:eastAsia="Poppins"/>
                <w:b/>
                <w:i w:val="0"/>
                <w:color w:val="14313A"/>
                <w:sz w:val="17"/>
              </w:rPr>
              <w:t>Matías Manzato · C.I. N.º 9489984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14313A"/>
            <w:vAlign w:val="center"/>
          </w:tcPr>
          <w:p>
            <w:pPr>
              <w:spacing w:after="0"/>
              <w:jc w:val="left"/>
            </w:pPr>
            <w:r>
              <w:rPr>
                <w:rFonts w:ascii="Poppins" w:hAnsi="Poppins" w:eastAsia="Poppins"/>
                <w:b/>
                <w:i w:val="0"/>
                <w:color w:val="FFFFFF"/>
                <w:sz w:val="15"/>
              </w:rPr>
              <w:t>PARTE VENDEDORA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  <w:jc w:val="left"/>
            </w:pPr>
            <w:r>
              <w:rPr>
                <w:rFonts w:ascii="Poppins" w:hAnsi="Poppins" w:eastAsia="Poppins"/>
                <w:b/>
                <w:i w:val="0"/>
                <w:color w:val="14313A"/>
                <w:sz w:val="17"/>
              </w:rPr>
              <w:t>M.T. BAT Sociedad Anónima · representante: Sra. Mabel Torrico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14313A"/>
            <w:vAlign w:val="center"/>
          </w:tcPr>
          <w:p>
            <w:pPr>
              <w:spacing w:after="0"/>
              <w:jc w:val="left"/>
            </w:pPr>
            <w:r>
              <w:rPr>
                <w:rFonts w:ascii="Poppins" w:hAnsi="Poppins" w:eastAsia="Poppins"/>
                <w:b/>
                <w:i w:val="0"/>
                <w:color w:val="FFFFFF"/>
                <w:sz w:val="15"/>
              </w:rPr>
              <w:t>INMOBILIARIA COLOCADORA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  <w:jc w:val="left"/>
            </w:pPr>
            <w:r>
              <w:rPr>
                <w:rFonts w:ascii="Poppins" w:hAnsi="Poppins" w:eastAsia="Poppins"/>
                <w:b/>
                <w:i w:val="0"/>
                <w:color w:val="14313A"/>
                <w:sz w:val="17"/>
              </w:rPr>
              <w:t>Meridiano Capital, a través de Juan José Castillo · Broker inmobiliario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14313A"/>
            <w:vAlign w:val="center"/>
          </w:tcPr>
          <w:p>
            <w:pPr>
              <w:spacing w:after="0"/>
              <w:jc w:val="left"/>
            </w:pPr>
            <w:r>
              <w:rPr>
                <w:rFonts w:ascii="Poppins" w:hAnsi="Poppins" w:eastAsia="Poppins"/>
                <w:b/>
                <w:i w:val="0"/>
                <w:color w:val="FFFFFF"/>
                <w:sz w:val="15"/>
              </w:rPr>
              <w:t>ASESORA INMOBILIARIA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  <w:jc w:val="left"/>
            </w:pPr>
            <w:r>
              <w:rPr>
                <w:rFonts w:ascii="Poppins" w:hAnsi="Poppins" w:eastAsia="Poppins"/>
                <w:b/>
                <w:i w:val="0"/>
                <w:color w:val="14313A"/>
                <w:sz w:val="17"/>
              </w:rPr>
              <w:t>Lourdes Baratto</w:t>
            </w:r>
          </w:p>
        </w:tc>
      </w:tr>
    </w:tbl>
    <w:p>
      <w:pPr>
        <w:keepNext w:val="0"/>
        <w:spacing w:before="160" w:after="0" w:line="250" w:lineRule="auto"/>
        <w:jc w:val="left"/>
      </w:pPr>
      <w:r>
        <w:rPr>
          <w:rFonts w:ascii="Poppins" w:hAnsi="Poppins" w:eastAsia="Poppins"/>
          <w:b w:val="0"/>
          <w:i w:val="0"/>
          <w:color w:val="2A2620"/>
          <w:sz w:val="18"/>
        </w:rPr>
        <w:t>Señor</w:t>
      </w:r>
    </w:p>
    <w:p>
      <w:pPr>
        <w:keepNext w:val="0"/>
        <w:spacing w:before="0" w:after="0" w:line="250" w:lineRule="auto"/>
        <w:jc w:val="left"/>
      </w:pPr>
      <w:r>
        <w:rPr>
          <w:rFonts w:ascii="Poppins" w:hAnsi="Poppins" w:eastAsia="Poppins"/>
          <w:b/>
          <w:i w:val="0"/>
          <w:color w:val="14313A"/>
          <w:sz w:val="18"/>
        </w:rPr>
        <w:t>Matías Manzato</w:t>
      </w:r>
    </w:p>
    <w:p>
      <w:pPr>
        <w:keepNext w:val="0"/>
        <w:spacing w:before="0" w:after="120" w:line="250" w:lineRule="auto"/>
        <w:jc w:val="left"/>
      </w:pPr>
      <w:r>
        <w:rPr>
          <w:rFonts w:ascii="Poppins" w:hAnsi="Poppins" w:eastAsia="Poppins"/>
          <w:b w:val="0"/>
          <w:i w:val="0"/>
          <w:color w:val="2A2620"/>
          <w:sz w:val="18"/>
        </w:rPr>
        <w:t>Presente</w:t>
      </w:r>
    </w:p>
    <w:p>
      <w:pPr>
        <w:keepNext w:val="0"/>
        <w:spacing w:before="0" w:after="120" w:line="250" w:lineRule="auto"/>
        <w:jc w:val="center"/>
      </w:pPr>
      <w:r>
        <w:rPr>
          <w:rFonts w:ascii="Poppins" w:hAnsi="Poppins" w:eastAsia="Poppins"/>
          <w:b/>
          <w:i w:val="0"/>
          <w:color w:val="14313A"/>
          <w:sz w:val="18"/>
        </w:rPr>
        <w:t>Ref.: Respuesta a su propuesta de compra del 16 de octubre de 2026 – Edificio Inox, Asunción</w:t>
      </w:r>
    </w:p>
    <w:p>
      <w:pPr>
        <w:keepNext w:val="0"/>
        <w:spacing w:before="0" w:after="100" w:line="250" w:lineRule="auto"/>
        <w:ind w:firstLine="567"/>
        <w:jc w:val="both"/>
      </w:pPr>
      <w:r>
        <w:rPr>
          <w:rFonts w:ascii="Poppins" w:hAnsi="Poppins" w:eastAsia="Poppins"/>
          <w:b w:val="0"/>
          <w:i w:val="0"/>
          <w:color w:val="2A2620"/>
          <w:sz w:val="18"/>
        </w:rPr>
        <w:t>Por medio de la presente le transmitimos la respuesta de la parte vendedora a su propuesta formal de compra del 16 de octubre de 2026 por USD 700.000. Meridiano Capital actúa en esta operación como inmobiliaria colocadora a través de su broker inmobiliario Juan José Castillo.</w:t>
      </w:r>
    </w:p>
    <w:p>
      <w:pPr>
        <w:keepNext w:val="0"/>
        <w:spacing w:before="0" w:after="100" w:line="250" w:lineRule="auto"/>
        <w:ind w:firstLine="567"/>
        <w:jc w:val="both"/>
      </w:pPr>
      <w:r>
        <w:rPr>
          <w:rFonts w:ascii="Poppins" w:hAnsi="Poppins" w:eastAsia="Poppins"/>
          <w:b w:val="0"/>
          <w:i w:val="0"/>
          <w:color w:val="2A2620"/>
          <w:sz w:val="18"/>
        </w:rPr>
        <w:t>Su propuesta se refiere al Edificio Inox, ubicado en Avda. República Argentina esquina Tobatí de Asunción e identificado con la Cuenta Corriente Catastral N.º 14-0322-17. El inmueble es propiedad de M.T. BAT Sociedad Anónima, representada por la señora Mabel Torrico.</w:t>
      </w:r>
    </w:p>
    <w:p>
      <w:pPr>
        <w:keepNext w:val="0"/>
        <w:spacing w:before="0" w:after="100" w:line="250" w:lineRule="auto"/>
        <w:ind w:firstLine="567"/>
        <w:jc w:val="both"/>
      </w:pPr>
      <w:r>
        <w:rPr>
          <w:rFonts w:ascii="Poppins" w:hAnsi="Poppins" w:eastAsia="Poppins"/>
          <w:b w:val="0"/>
          <w:i w:val="0"/>
          <w:color w:val="2A2620"/>
          <w:sz w:val="18"/>
        </w:rPr>
        <w:t>Su presentación como interesado consta en la carta de presentación de cliente y reconocimiento de comisión dirigida a la parte vendedora. Esa carta deja constancia de la intermediación de los dos asesores inmobiliarios intervinientes: la señora Lourdes Baratto y Meridiano Capital a través de su broker inmobiliario Juan José Castillo.</w:t>
      </w:r>
    </w:p>
    <w:p>
      <w:pPr>
        <w:keepNext w:val="0"/>
        <w:spacing w:before="0" w:after="40" w:line="250" w:lineRule="auto"/>
        <w:ind w:firstLine="567"/>
        <w:jc w:val="both"/>
      </w:pPr>
      <w:r>
        <w:rPr>
          <w:rFonts w:ascii="Poppins" w:hAnsi="Poppins" w:eastAsia="Poppins"/>
          <w:b w:val="0"/>
          <w:i w:val="0"/>
          <w:color w:val="2A2620"/>
          <w:sz w:val="18"/>
        </w:rPr>
        <w:t>La parte vendedora tuvo en cuenta los presupuestos y las necesidades de remodelación que usted planteó para regularizar los planos y realizar los arreglos básicos del edificio. En consideración de ello, acepta reducir el precio de venta a USD 820.000 (ochocientos veinte mil dólares estadounidenses) en las condiciones que se detallan a continuación. La reducción no implica que la parte vendedora asuma la ejecución ni el costo de esas reformas o regularizaciones.</w:t>
      </w:r>
    </w:p>
    <w:p>
      <w:pPr>
        <w:keepNext/>
        <w:spacing w:before="120" w:after="60" w:line="250" w:lineRule="auto"/>
        <w:jc w:val="left"/>
        <w:pBdr>
          <w:bottom w:val="single" w:sz="4" w:color="DAD2C0" w:space="2"/>
        </w:pBdr>
      </w:pPr>
      <w:r>
        <w:rPr>
          <w:rFonts w:ascii="Fraunces" w:hAnsi="Fraunces" w:eastAsia="Fraunces"/>
          <w:b w:val="0"/>
          <w:i w:val="0"/>
          <w:color w:val="14313A"/>
          <w:sz w:val="24"/>
        </w:rPr>
        <w:t>Precio y forma de pago</w:t>
      </w:r>
    </w:p>
    <w:tbl>
      <w:tblPr>
        <w:tblW w:type="dxa" w:w="9639"/>
        <w:tblLook w:firstColumn="1" w:firstRow="1" w:lastColumn="0" w:lastRow="0" w:noHBand="0" w:noVBand="1" w:val="04A0"/>
        <w:jc w:val="center"/>
        <w:tblBorders>
          <w:top w:val="single" w:sz="4" w:color="DAD2C0"/>
          <w:left w:val="single" w:sz="4" w:color="DAD2C0"/>
          <w:bottom w:val="single" w:sz="4" w:color="DAD2C0"/>
          <w:right w:val="single" w:sz="4" w:color="DAD2C0"/>
          <w:insideH w:val="single" w:sz="4" w:color="DAD2C0"/>
          <w:insideV w:val="single" w:sz="4" w:color="DAD2C0"/>
        </w:tblBorders>
        <w:tblLayout w:type="fixed"/>
        <w:tblCellMar>
          <w:top w:w="30" w:type="dxa"/>
          <w:bottom w:w="30" w:type="dxa"/>
          <w:left w:w="110" w:type="dxa"/>
          <w:right w:w="110" w:type="dxa"/>
        </w:tblCellMar>
        <w:tblLayout w:type="fixed"/>
      </w:tblPr>
      <w:tblGrid>
        <w:gridCol w:w="2608"/>
        <w:gridCol w:w="5216"/>
        <w:gridCol w:w="1814"/>
      </w:tblGrid>
      <w:tr>
        <w:trPr>
          <w:cantSplit/>
        </w:trPr>
        <w:tc>
          <w:tcPr>
            <w:tcW w:type="dxa" w:w="2608"/>
            <w:shd w:val="clear" w:color="auto" w:fill="14313A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Poppins" w:hAnsi="Poppins" w:eastAsia="Poppins"/>
                <w:b/>
                <w:i w:val="0"/>
                <w:color w:val="FFFFFF"/>
                <w:sz w:val="15"/>
              </w:rPr>
              <w:t>CONCEPTO</w:t>
            </w:r>
          </w:p>
        </w:tc>
        <w:tc>
          <w:tcPr>
            <w:tcW w:type="dxa" w:w="5216"/>
            <w:shd w:val="clear" w:color="auto" w:fill="14313A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Poppins" w:hAnsi="Poppins" w:eastAsia="Poppins"/>
                <w:b/>
                <w:i w:val="0"/>
                <w:color w:val="FFFFFF"/>
                <w:sz w:val="15"/>
              </w:rPr>
              <w:t>OPORTUNIDAD Y FORMA DE PAGO</w:t>
            </w:r>
          </w:p>
        </w:tc>
        <w:tc>
          <w:tcPr>
            <w:tcW w:type="dxa" w:w="1814"/>
            <w:shd w:val="clear" w:color="auto" w:fill="14313A"/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Poppins" w:hAnsi="Poppins" w:eastAsia="Poppins"/>
                <w:b/>
                <w:i w:val="0"/>
                <w:color w:val="FFFFFF"/>
                <w:sz w:val="15"/>
              </w:rPr>
              <w:t>IMPORTE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Poppins" w:hAnsi="Poppins" w:eastAsia="Poppins"/>
                <w:b/>
                <w:i w:val="0"/>
                <w:color w:val="14313A"/>
                <w:sz w:val="18"/>
              </w:rPr>
              <w:t>Reserva</w:t>
            </w:r>
          </w:p>
          <w:p>
            <w:pPr>
              <w:keepNext/>
              <w:spacing w:after="0"/>
            </w:pPr>
            <w:r>
              <w:rPr>
                <w:rFonts w:ascii="Poppins" w:hAnsi="Poppins" w:eastAsia="Poppins"/>
                <w:b w:val="0"/>
                <w:i/>
                <w:color w:val="6B6154"/>
                <w:sz w:val="15"/>
              </w:rPr>
              <w:t>Ochenta y dos mil dólares estadounidenses</w:t>
            </w:r>
          </w:p>
        </w:tc>
        <w:tc>
          <w:tcPr>
            <w:tcW w:type="dxa" w:w="5216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Poppins" w:hAnsi="Poppins" w:eastAsia="Poppins"/>
                <w:b w:val="0"/>
                <w:i w:val="0"/>
                <w:color w:val="2A2620"/>
                <w:sz w:val="17"/>
              </w:rPr>
              <w:t>Una vez aceptada la presente propuesta, mediante transferencia bancaria a la cuenta que indique la parte vendedora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Poppins" w:hAnsi="Poppins" w:eastAsia="Poppins"/>
                <w:b/>
                <w:i w:val="0"/>
                <w:color w:val="14313A"/>
                <w:sz w:val="19"/>
              </w:rPr>
              <w:t>USD 82.000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7F4EE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Poppins" w:hAnsi="Poppins" w:eastAsia="Poppins"/>
                <w:b/>
                <w:i w:val="0"/>
                <w:color w:val="14313A"/>
                <w:sz w:val="18"/>
              </w:rPr>
              <w:t>Seña de trato</w:t>
            </w:r>
          </w:p>
          <w:p>
            <w:pPr>
              <w:keepNext/>
              <w:spacing w:after="0"/>
            </w:pPr>
            <w:r>
              <w:rPr>
                <w:rFonts w:ascii="Poppins" w:hAnsi="Poppins" w:eastAsia="Poppins"/>
                <w:b w:val="0"/>
                <w:i/>
                <w:color w:val="6B6154"/>
                <w:sz w:val="15"/>
              </w:rPr>
              <w:t>Ciento sesenta y ocho mil dólares estadounidenses</w:t>
            </w:r>
          </w:p>
        </w:tc>
        <w:tc>
          <w:tcPr>
            <w:tcW w:type="dxa" w:w="5216"/>
            <w:shd w:val="clear" w:color="auto" w:fill="F7F4EE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Poppins" w:hAnsi="Poppins" w:eastAsia="Poppins"/>
                <w:b w:val="0"/>
                <w:i w:val="0"/>
                <w:color w:val="2A2620"/>
                <w:sz w:val="17"/>
              </w:rPr>
              <w:t>A la firma del contrato privado de compraventa en escribanía, en un lapso no mayor a 30 días corridos desde la reserva, mediante transferencia bancaria</w:t>
            </w:r>
          </w:p>
        </w:tc>
        <w:tc>
          <w:tcPr>
            <w:tcW w:type="dxa" w:w="1814"/>
            <w:shd w:val="clear" w:color="auto" w:fill="F7F4EE"/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Poppins" w:hAnsi="Poppins" w:eastAsia="Poppins"/>
                <w:b/>
                <w:i w:val="0"/>
                <w:color w:val="14313A"/>
                <w:sz w:val="19"/>
              </w:rPr>
              <w:t>USD 168.000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Poppins" w:hAnsi="Poppins" w:eastAsia="Poppins"/>
                <w:b/>
                <w:i w:val="0"/>
                <w:color w:val="14313A"/>
                <w:sz w:val="18"/>
              </w:rPr>
              <w:t>Saldo de la operación</w:t>
            </w:r>
          </w:p>
          <w:p>
            <w:pPr>
              <w:keepNext/>
              <w:spacing w:after="0"/>
            </w:pPr>
            <w:r>
              <w:rPr>
                <w:rFonts w:ascii="Poppins" w:hAnsi="Poppins" w:eastAsia="Poppins"/>
                <w:b w:val="0"/>
                <w:i/>
                <w:color w:val="6B6154"/>
                <w:sz w:val="15"/>
              </w:rPr>
              <w:t>Quinientos setenta mil dólares estadounidenses</w:t>
            </w:r>
          </w:p>
        </w:tc>
        <w:tc>
          <w:tcPr>
            <w:tcW w:type="dxa" w:w="5216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rFonts w:ascii="Poppins" w:hAnsi="Poppins" w:eastAsia="Poppins"/>
                <w:b w:val="0"/>
                <w:i w:val="0"/>
                <w:color w:val="2A2620"/>
                <w:sz w:val="17"/>
              </w:rPr>
              <w:t>A la firma de la escritura traslativa de dominio en escribanía, en un lapso de 180 días hábiles a partir de la seña de trato, mediante transferencia bancaria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right"/>
            </w:pPr>
            <w:r>
              <w:rPr>
                <w:rFonts w:ascii="Poppins" w:hAnsi="Poppins" w:eastAsia="Poppins"/>
                <w:b/>
                <w:i w:val="0"/>
                <w:color w:val="14313A"/>
                <w:sz w:val="19"/>
              </w:rPr>
              <w:t>USD 570.000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3EDE3"/>
            <w:vAlign w:val="center"/>
          </w:tcPr>
          <w:p>
            <w:pPr>
              <w:spacing w:after="0"/>
              <w:jc w:val="left"/>
            </w:pPr>
            <w:r>
              <w:rPr>
                <w:rFonts w:ascii="Poppins" w:hAnsi="Poppins" w:eastAsia="Poppins"/>
                <w:b/>
                <w:i w:val="0"/>
                <w:color w:val="14313A"/>
                <w:sz w:val="16"/>
              </w:rPr>
              <w:t>PRECIO TOTAL DE VENTA</w:t>
            </w:r>
          </w:p>
        </w:tc>
        <w:tc>
          <w:tcPr>
            <w:tcW w:type="dxa" w:w="5216"/>
            <w:shd w:val="clear" w:color="auto" w:fill="F3EDE3"/>
            <w:vAlign w:val="center"/>
          </w:tcPr>
          <w:p>
            <w:pPr>
              <w:spacing w:after="0"/>
              <w:jc w:val="left"/>
            </w:pPr>
            <w:r>
              <w:rPr>
                <w:rFonts w:ascii="Poppins" w:hAnsi="Poppins" w:eastAsia="Poppins"/>
                <w:b w:val="0"/>
                <w:i/>
                <w:color w:val="6B6154"/>
                <w:sz w:val="17"/>
              </w:rPr>
              <w:t>Ochocientos veinte mil dólares estadounidenses</w:t>
            </w:r>
          </w:p>
        </w:tc>
        <w:tc>
          <w:tcPr>
            <w:tcW w:type="dxa" w:w="1814"/>
            <w:shd w:val="clear" w:color="auto" w:fill="F3EDE3"/>
            <w:vAlign w:val="center"/>
          </w:tcPr>
          <w:p>
            <w:pPr>
              <w:spacing w:after="0"/>
              <w:jc w:val="right"/>
            </w:pPr>
            <w:r>
              <w:rPr>
                <w:rFonts w:ascii="Poppins" w:hAnsi="Poppins" w:eastAsia="Poppins"/>
                <w:b/>
                <w:i w:val="0"/>
                <w:color w:val="14313A"/>
                <w:sz w:val="21"/>
              </w:rPr>
              <w:t>USD 820.000</w:t>
            </w:r>
          </w:p>
        </w:tc>
      </w:tr>
    </w:tbl>
    <w:p>
      <w:pPr>
        <w:keepNext w:val="0"/>
        <w:spacing w:before="80" w:after="40" w:line="250" w:lineRule="auto"/>
        <w:jc w:val="both"/>
      </w:pPr>
      <w:r>
        <w:rPr>
          <w:rFonts w:ascii="Poppins" w:hAnsi="Poppins" w:eastAsia="Poppins"/>
          <w:b w:val="0"/>
          <w:i w:val="0"/>
          <w:color w:val="2A2620"/>
          <w:sz w:val="18"/>
        </w:rPr>
        <w:t>La reserva y la seña de trato se imputan íntegramente al precio. El saldo de USD 570.000 sustituye al saldo de USD 450.000 previsto en su propuesta.</w:t>
      </w:r>
    </w:p>
    <w:p>
      <w:pPr>
        <w:keepNext/>
        <w:spacing w:before="120" w:after="60" w:line="250" w:lineRule="auto"/>
        <w:jc w:val="left"/>
        <w:pBdr>
          <w:bottom w:val="single" w:sz="4" w:color="DAD2C0" w:space="2"/>
        </w:pBdr>
      </w:pPr>
      <w:r>
        <w:rPr>
          <w:rFonts w:ascii="Fraunces" w:hAnsi="Fraunces" w:eastAsia="Fraunces"/>
          <w:b w:val="0"/>
          <w:i w:val="0"/>
          <w:color w:val="14313A"/>
          <w:sz w:val="24"/>
        </w:rPr>
        <w:t>Condiciones de la operación</w:t>
      </w:r>
    </w:p>
    <w:p>
      <w:pPr>
        <w:keepNext w:val="0"/>
        <w:tabs>
          <w:tab w:pos="425" w:val="left"/>
        </w:tabs>
        <w:spacing w:before="0" w:after="40" w:line="250" w:lineRule="auto"/>
        <w:ind w:left="425" w:hanging="425"/>
        <w:jc w:val="both"/>
      </w:pPr>
      <w:r>
        <w:rPr>
          <w:rFonts w:ascii="Poppins" w:hAnsi="Poppins" w:eastAsia="Poppins"/>
          <w:b/>
          <w:i w:val="0"/>
          <w:color w:val="A87D22"/>
          <w:sz w:val="18"/>
        </w:rPr>
        <w:t>1.</w:t>
        <w:tab/>
      </w:r>
      <w:r>
        <w:rPr>
          <w:rFonts w:ascii="Poppins" w:hAnsi="Poppins" w:eastAsia="Poppins"/>
          <w:b/>
          <w:i w:val="0"/>
          <w:color w:val="14313A"/>
          <w:sz w:val="18"/>
        </w:rPr>
        <w:t xml:space="preserve">Comisión inmobiliaria. </w:t>
      </w:r>
      <w:r>
        <w:rPr>
          <w:rFonts w:ascii="Poppins" w:hAnsi="Poppins" w:eastAsia="Poppins"/>
          <w:b w:val="0"/>
          <w:i w:val="0"/>
          <w:color w:val="2A2620"/>
          <w:sz w:val="18"/>
        </w:rPr>
        <w:t>La comisión inmobiliaria del 5,5 % (cinco coma cinco por ciento) será abonada en un 100 % por la parte vendedora.</w:t>
      </w:r>
    </w:p>
    <w:p>
      <w:pPr>
        <w:keepNext w:val="0"/>
        <w:tabs>
          <w:tab w:pos="425" w:val="left"/>
        </w:tabs>
        <w:spacing w:before="0" w:after="40" w:line="250" w:lineRule="auto"/>
        <w:ind w:left="425" w:hanging="425"/>
        <w:jc w:val="both"/>
      </w:pPr>
      <w:r>
        <w:rPr>
          <w:rFonts w:ascii="Poppins" w:hAnsi="Poppins" w:eastAsia="Poppins"/>
          <w:b/>
          <w:i w:val="0"/>
          <w:color w:val="A87D22"/>
          <w:sz w:val="18"/>
        </w:rPr>
        <w:t>2.</w:t>
        <w:tab/>
      </w:r>
      <w:r>
        <w:rPr>
          <w:rFonts w:ascii="Poppins" w:hAnsi="Poppins" w:eastAsia="Poppins"/>
          <w:b/>
          <w:i w:val="0"/>
          <w:color w:val="14313A"/>
          <w:sz w:val="18"/>
        </w:rPr>
        <w:t xml:space="preserve">Gastos de transferencia. </w:t>
      </w:r>
      <w:r>
        <w:rPr>
          <w:rFonts w:ascii="Poppins" w:hAnsi="Poppins" w:eastAsia="Poppins"/>
          <w:b w:val="0"/>
          <w:i w:val="0"/>
          <w:color w:val="2A2620"/>
          <w:sz w:val="18"/>
        </w:rPr>
        <w:t>Los gastos de transferencia serán pagados en un 50 % por la parte compradora y en un 50 % por la parte vendedora. Este reparto es independiente de los impuestos indicados en los puntos siguientes.</w:t>
      </w:r>
    </w:p>
    <w:p>
      <w:pPr>
        <w:keepNext w:val="0"/>
        <w:tabs>
          <w:tab w:pos="425" w:val="left"/>
        </w:tabs>
        <w:spacing w:before="0" w:after="40" w:line="250" w:lineRule="auto"/>
        <w:ind w:left="425" w:hanging="425"/>
        <w:jc w:val="both"/>
      </w:pPr>
      <w:r>
        <w:rPr>
          <w:rFonts w:ascii="Poppins" w:hAnsi="Poppins" w:eastAsia="Poppins"/>
          <w:b/>
          <w:i w:val="0"/>
          <w:color w:val="A87D22"/>
          <w:sz w:val="18"/>
        </w:rPr>
        <w:t>3.</w:t>
        <w:tab/>
      </w:r>
      <w:r>
        <w:rPr>
          <w:rFonts w:ascii="Poppins" w:hAnsi="Poppins" w:eastAsia="Poppins"/>
          <w:b/>
          <w:i w:val="0"/>
          <w:color w:val="14313A"/>
          <w:sz w:val="18"/>
        </w:rPr>
        <w:t xml:space="preserve">IVA. </w:t>
      </w:r>
      <w:r>
        <w:rPr>
          <w:rFonts w:ascii="Poppins" w:hAnsi="Poppins" w:eastAsia="Poppins"/>
          <w:b w:val="0"/>
          <w:i w:val="0"/>
          <w:color w:val="2A2620"/>
          <w:sz w:val="18"/>
        </w:rPr>
        <w:t>El IVA correspondiente a la venta del inmueble será pagado por la parte vendedora a la tasa del 5 % aplicable a la enajenación de inmuebles, como lo establece la ley. No se adiciona al precio de USD 820.000.</w:t>
      </w:r>
    </w:p>
    <w:p>
      <w:pPr>
        <w:keepNext w:val="0"/>
        <w:tabs>
          <w:tab w:pos="425" w:val="left"/>
        </w:tabs>
        <w:spacing w:before="0" w:after="40" w:line="250" w:lineRule="auto"/>
        <w:ind w:left="425" w:hanging="425"/>
        <w:jc w:val="both"/>
      </w:pPr>
      <w:r>
        <w:rPr>
          <w:rFonts w:ascii="Poppins" w:hAnsi="Poppins" w:eastAsia="Poppins"/>
          <w:b/>
          <w:i w:val="0"/>
          <w:color w:val="A87D22"/>
          <w:sz w:val="18"/>
        </w:rPr>
        <w:t>4.</w:t>
        <w:tab/>
      </w:r>
      <w:r>
        <w:rPr>
          <w:rFonts w:ascii="Poppins" w:hAnsi="Poppins" w:eastAsia="Poppins"/>
          <w:b/>
          <w:i w:val="0"/>
          <w:color w:val="14313A"/>
          <w:sz w:val="18"/>
        </w:rPr>
        <w:t xml:space="preserve">Impuestos inmobiliarios. </w:t>
      </w:r>
      <w:r>
        <w:rPr>
          <w:rFonts w:ascii="Poppins" w:hAnsi="Poppins" w:eastAsia="Poppins"/>
          <w:b w:val="0"/>
          <w:i w:val="0"/>
          <w:color w:val="2A2620"/>
          <w:sz w:val="18"/>
        </w:rPr>
        <w:t>Los impuestos inmobiliarios deben estar al día y son a cargo de la parte vendedora, como lo establece la ley.</w:t>
      </w:r>
    </w:p>
    <w:p>
      <w:pPr>
        <w:keepNext w:val="0"/>
        <w:tabs>
          <w:tab w:pos="425" w:val="left"/>
        </w:tabs>
        <w:spacing w:before="0" w:after="40" w:line="250" w:lineRule="auto"/>
        <w:ind w:left="425" w:hanging="425"/>
        <w:jc w:val="both"/>
      </w:pPr>
      <w:r>
        <w:rPr>
          <w:rFonts w:ascii="Poppins" w:hAnsi="Poppins" w:eastAsia="Poppins"/>
          <w:b/>
          <w:i w:val="0"/>
          <w:color w:val="A87D22"/>
          <w:sz w:val="18"/>
        </w:rPr>
        <w:t>5.</w:t>
        <w:tab/>
      </w:r>
      <w:r>
        <w:rPr>
          <w:rFonts w:ascii="Poppins" w:hAnsi="Poppins" w:eastAsia="Poppins"/>
          <w:b/>
          <w:i w:val="0"/>
          <w:color w:val="14313A"/>
          <w:sz w:val="18"/>
        </w:rPr>
        <w:t xml:space="preserve">Aprobación bancaria. </w:t>
      </w:r>
      <w:r>
        <w:rPr>
          <w:rFonts w:ascii="Poppins" w:hAnsi="Poppins" w:eastAsia="Poppins"/>
          <w:b w:val="0"/>
          <w:i w:val="0"/>
          <w:color w:val="2A2620"/>
          <w:sz w:val="18"/>
        </w:rPr>
        <w:t>Toda la operación y las transferencias estarán sujetas a la aprobación del banco interviniente. La parte vendedora se compromete a facilitar y gestionar de común acuerdo toda la información y la documentación que soliciten los bancos intervinientes en las transferencias.</w:t>
      </w:r>
    </w:p>
    <w:p>
      <w:pPr>
        <w:keepNext w:val="0"/>
        <w:tabs>
          <w:tab w:pos="425" w:val="left"/>
        </w:tabs>
        <w:spacing w:before="0" w:after="40" w:line="250" w:lineRule="auto"/>
        <w:ind w:left="425" w:hanging="425"/>
        <w:jc w:val="both"/>
      </w:pPr>
      <w:r>
        <w:rPr>
          <w:rFonts w:ascii="Poppins" w:hAnsi="Poppins" w:eastAsia="Poppins"/>
          <w:b/>
          <w:i w:val="0"/>
          <w:color w:val="A87D22"/>
          <w:sz w:val="18"/>
        </w:rPr>
        <w:t>6.</w:t>
        <w:tab/>
      </w:r>
      <w:r>
        <w:rPr>
          <w:rFonts w:ascii="Poppins" w:hAnsi="Poppins" w:eastAsia="Poppins"/>
          <w:b/>
          <w:i w:val="0"/>
          <w:color w:val="14313A"/>
          <w:sz w:val="18"/>
        </w:rPr>
        <w:t xml:space="preserve">Acompañamiento de transición. </w:t>
      </w:r>
      <w:r>
        <w:rPr>
          <w:rFonts w:ascii="Poppins" w:hAnsi="Poppins" w:eastAsia="Poppins"/>
          <w:b w:val="0"/>
          <w:i w:val="0"/>
          <w:color w:val="2A2620"/>
          <w:sz w:val="18"/>
        </w:rPr>
        <w:t>La parte vendedora se compromete a acompañar a la parte compradora durante seis (6) meses desde la compra. Brindará toda la información y el conocimiento necesarios para el traspaso de la documentación y de la gestión de locación del edificio. Este acompañamiento es informativo y de transición: no constituye garantía de renta, administración del edificio ni cobranza, ni responsabilidad por las decisiones futuras de la parte compradora.</w:t>
      </w:r>
    </w:p>
    <w:p>
      <w:pPr>
        <w:keepNext w:val="0"/>
        <w:tabs>
          <w:tab w:pos="425" w:val="left"/>
        </w:tabs>
        <w:spacing w:before="0" w:after="40" w:line="250" w:lineRule="auto"/>
        <w:ind w:left="425" w:hanging="425"/>
        <w:jc w:val="both"/>
      </w:pPr>
      <w:r>
        <w:rPr>
          <w:rFonts w:ascii="Poppins" w:hAnsi="Poppins" w:eastAsia="Poppins"/>
          <w:b/>
          <w:i w:val="0"/>
          <w:color w:val="A87D22"/>
          <w:sz w:val="18"/>
        </w:rPr>
        <w:t>7.</w:t>
        <w:tab/>
      </w:r>
      <w:r>
        <w:rPr>
          <w:rFonts w:ascii="Poppins" w:hAnsi="Poppins" w:eastAsia="Poppins"/>
          <w:b/>
          <w:i w:val="0"/>
          <w:color w:val="14313A"/>
          <w:sz w:val="18"/>
        </w:rPr>
        <w:t xml:space="preserve">Verificación documental. </w:t>
      </w:r>
      <w:r>
        <w:rPr>
          <w:rFonts w:ascii="Poppins" w:hAnsi="Poppins" w:eastAsia="Poppins"/>
          <w:b w:val="0"/>
          <w:i w:val="0"/>
          <w:color w:val="2A2620"/>
          <w:sz w:val="18"/>
        </w:rPr>
        <w:t>Conforme a su propuesta, la operación sigue sujeta a la verificación de la documentación de dominio del inmueble y de que se encuentre libre de gravámenes. La presente no implica que esa verificación ya se haya realizado.</w:t>
      </w:r>
    </w:p>
    <w:p>
      <w:pPr>
        <w:keepNext w:val="0"/>
        <w:tabs>
          <w:tab w:pos="425" w:val="left"/>
        </w:tabs>
        <w:spacing w:before="0" w:after="40" w:line="250" w:lineRule="auto"/>
        <w:ind w:left="425" w:hanging="425"/>
        <w:jc w:val="both"/>
      </w:pPr>
      <w:r>
        <w:rPr>
          <w:rFonts w:ascii="Poppins" w:hAnsi="Poppins" w:eastAsia="Poppins"/>
          <w:b/>
          <w:i w:val="0"/>
          <w:color w:val="A87D22"/>
          <w:sz w:val="18"/>
        </w:rPr>
        <w:t>8.</w:t>
        <w:tab/>
      </w:r>
      <w:r>
        <w:rPr>
          <w:rFonts w:ascii="Poppins" w:hAnsi="Poppins" w:eastAsia="Poppins"/>
          <w:b/>
          <w:i w:val="0"/>
          <w:color w:val="14313A"/>
          <w:sz w:val="18"/>
        </w:rPr>
        <w:t xml:space="preserve">Formalización. </w:t>
      </w:r>
      <w:r>
        <w:rPr>
          <w:rFonts w:ascii="Poppins" w:hAnsi="Poppins" w:eastAsia="Poppins"/>
          <w:b w:val="0"/>
          <w:i w:val="0"/>
          <w:color w:val="2A2620"/>
          <w:sz w:val="18"/>
        </w:rPr>
        <w:t>Las condiciones aquí comunicadas deberán instrumentarse por escrito y ser firmadas por la parte compradora y por la parte vendedora. Por la parte vendedora firmará quien acredite facultades suficientes.</w:t>
      </w:r>
    </w:p>
    <w:p>
      <w:pPr>
        <w:keepNext/>
        <w:spacing w:before="120" w:after="60" w:line="250" w:lineRule="auto"/>
        <w:jc w:val="left"/>
        <w:pBdr>
          <w:bottom w:val="single" w:sz="4" w:color="DAD2C0" w:space="2"/>
        </w:pBdr>
      </w:pPr>
      <w:r>
        <w:rPr>
          <w:rFonts w:ascii="Fraunces" w:hAnsi="Fraunces" w:eastAsia="Fraunces"/>
          <w:b w:val="0"/>
          <w:i w:val="0"/>
          <w:color w:val="14313A"/>
          <w:sz w:val="24"/>
        </w:rPr>
        <w:t>Vigencia, respuesta y alcance</w:t>
      </w:r>
    </w:p>
    <w:p>
      <w:pPr>
        <w:keepNext w:val="0"/>
        <w:spacing w:before="0" w:after="80" w:line="250" w:lineRule="auto"/>
        <w:jc w:val="both"/>
      </w:pPr>
      <w:r>
        <w:rPr>
          <w:rFonts w:ascii="Poppins" w:hAnsi="Poppins" w:eastAsia="Poppins"/>
          <w:b w:val="0"/>
          <w:i w:val="0"/>
          <w:color w:val="2A2620"/>
          <w:sz w:val="18"/>
        </w:rPr>
        <w:t>La presente propuesta tiene una validez de 30 (treinta) días hábiles a partir de su fecha de emisión, el 23 de octubre de 2026. La parte compradora comunicará su respuesta por escrito mediante el formulario adjunto a la presente.</w:t>
      </w:r>
    </w:p>
    <w:p>
      <w:pPr>
        <w:keepNext w:val="0"/>
        <w:spacing w:before="0" w:after="80" w:line="250" w:lineRule="auto"/>
        <w:jc w:val="both"/>
      </w:pPr>
      <w:r>
        <w:rPr>
          <w:rFonts w:ascii="Poppins" w:hAnsi="Poppins" w:eastAsia="Poppins"/>
          <w:b w:val="0"/>
          <w:i w:val="0"/>
          <w:color w:val="2A2620"/>
          <w:sz w:val="18"/>
        </w:rPr>
        <w:t>Meridiano Capital interviene como inmobiliaria colocadora a través de su broker inmobiliario Juan José Castillo, con la función de presentar y canalizar esta respuesta. Ninguno de los asesores inmobiliarios intervinientes representa legalmente a las partes ni está facultado para obligar a M.T. BAT Sociedad Anónima, aceptar en nombre de la parte compradora o recibir fondos de la operación.</w:t>
      </w:r>
    </w:p>
    <w:p>
      <w:pPr>
        <w:keepNext/>
        <w:spacing w:before="0" w:after="60" w:line="250" w:lineRule="auto"/>
        <w:jc w:val="both"/>
      </w:pPr>
      <w:r>
        <w:rPr>
          <w:rFonts w:ascii="Poppins" w:hAnsi="Poppins" w:eastAsia="Poppins"/>
          <w:b w:val="0"/>
          <w:i w:val="0"/>
          <w:color w:val="2A2620"/>
          <w:sz w:val="18"/>
        </w:rPr>
        <w:t>Sin otro particular y aguardando una respuesta favorable, le saludamos atentamente.</w:t>
      </w:r>
    </w:p>
    <w:p>
      <w:pPr>
        <w:keepNext/>
        <w:spacing w:before="0" w:after="0" w:line="250" w:lineRule="auto"/>
        <w:jc w:val="left"/>
      </w:pPr>
      <w:r>
        <w:rPr>
          <w:rFonts w:ascii="Poppins" w:hAnsi="Poppins" w:eastAsia="Poppins"/>
          <w:b w:val="0"/>
          <w:i/>
          <w:color w:val="6B6154"/>
          <w:sz w:val="16"/>
        </w:rPr>
        <w:t>Firmas de los intervinientes. La parte vendedora firma en conformidad con estas condiciones; la parte compradora, en toma de conocimiento.</w:t>
      </w:r>
    </w:p>
    <w:tbl>
      <w:tblPr>
        <w:tblW w:type="dxa" w:w="9639"/>
        <w:jc w:val="center"/>
        <w:tblLook w:firstColumn="1" w:firstRow="1" w:lastColumn="0" w:lastRow="0" w:noHBand="0" w:noVBand="1" w:val="04A0"/>
        <w:tblLayout w:type="fixed"/>
        <w:tblCellMar>
          <w:top w:w="0" w:type="dxa"/>
          <w:bottom w:w="0" w:type="dxa"/>
          <w:left w:w="300" w:type="dxa"/>
          <w:right w:w="300" w:type="dxa"/>
        </w:tblCellMar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vAlign w:val="top"/>
          </w:tcPr>
          <w:p>
            <w:pPr>
              <w:keepNext/>
              <w:spacing w:before="400" w:after="0"/>
              <w:jc w:val="center"/>
              <w:pBdr>
                <w:top w:val="single" w:sz="6" w:color="14313A" w:space="4"/>
              </w:pBdr>
            </w:pPr>
            <w:r>
              <w:rPr>
                <w:rFonts w:ascii="Poppins" w:hAnsi="Poppins" w:eastAsia="Poppins"/>
                <w:b/>
                <w:i w:val="0"/>
                <w:color w:val="14313A"/>
                <w:sz w:val="19"/>
              </w:rPr>
              <w:t>MABEL TORRICO</w:t>
            </w:r>
          </w:p>
          <w:p>
            <w:pPr>
              <w:keepNext/>
              <w:spacing w:after="0"/>
              <w:jc w:val="center"/>
            </w:pPr>
            <w:r>
              <w:rPr>
                <w:rFonts w:ascii="Poppins" w:hAnsi="Poppins" w:eastAsia="Poppins"/>
                <w:b w:val="0"/>
                <w:i w:val="0"/>
                <w:color w:val="2A2620"/>
                <w:sz w:val="16"/>
              </w:rPr>
              <w:t>En representación de M.T. BAT S.A.</w:t>
            </w:r>
          </w:p>
          <w:p>
            <w:pPr>
              <w:keepNext/>
              <w:spacing w:after="0"/>
              <w:jc w:val="center"/>
            </w:pPr>
            <w:r>
              <w:rPr>
                <w:rFonts w:ascii="Poppins" w:hAnsi="Poppins" w:eastAsia="Poppins"/>
                <w:b w:val="0"/>
                <w:i w:val="0"/>
                <w:color w:val="2A2620"/>
                <w:sz w:val="16"/>
              </w:rPr>
              <w:t>C.I. N.º ______________</w:t>
            </w:r>
          </w:p>
          <w:p>
            <w:pPr>
              <w:keepNext/>
              <w:spacing w:after="0"/>
              <w:jc w:val="center"/>
            </w:pPr>
            <w:r>
              <w:rPr>
                <w:rFonts w:ascii="Poppins" w:hAnsi="Poppins" w:eastAsia="Poppins"/>
                <w:b/>
                <w:i w:val="0"/>
                <w:color w:val="A87D22"/>
                <w:sz w:val="16"/>
              </w:rPr>
              <w:t>PARTE VENDEDORA</w:t>
            </w:r>
          </w:p>
        </w:tc>
        <w:tc>
          <w:tcPr>
            <w:tcW w:type="dxa" w:w="4819"/>
            <w:vAlign w:val="top"/>
          </w:tcPr>
          <w:p>
            <w:pPr>
              <w:keepNext/>
              <w:spacing w:before="400" w:after="0"/>
              <w:jc w:val="center"/>
              <w:pBdr>
                <w:top w:val="single" w:sz="6" w:color="14313A" w:space="4"/>
              </w:pBdr>
            </w:pPr>
            <w:r>
              <w:rPr>
                <w:rFonts w:ascii="Poppins" w:hAnsi="Poppins" w:eastAsia="Poppins"/>
                <w:b/>
                <w:i w:val="0"/>
                <w:color w:val="14313A"/>
                <w:sz w:val="19"/>
              </w:rPr>
              <w:t>MATÍAS MANZATO</w:t>
            </w:r>
          </w:p>
          <w:p>
            <w:pPr>
              <w:keepNext/>
              <w:spacing w:after="0"/>
              <w:jc w:val="center"/>
            </w:pPr>
            <w:r>
              <w:rPr>
                <w:rFonts w:ascii="Poppins" w:hAnsi="Poppins" w:eastAsia="Poppins"/>
                <w:b w:val="0"/>
                <w:i w:val="0"/>
                <w:color w:val="2A2620"/>
                <w:sz w:val="16"/>
              </w:rPr>
              <w:t>C.I. N.º 9489984</w:t>
            </w:r>
          </w:p>
          <w:p>
            <w:pPr>
              <w:keepNext/>
              <w:spacing w:after="0"/>
              <w:jc w:val="center"/>
            </w:pPr>
            <w:r>
              <w:rPr>
                <w:rFonts w:ascii="Poppins" w:hAnsi="Poppins" w:eastAsia="Poppins"/>
                <w:b/>
                <w:i w:val="0"/>
                <w:color w:val="A87D22"/>
                <w:sz w:val="16"/>
              </w:rPr>
              <w:t>COMPRADOR / OFERENTE</w:t>
            </w:r>
          </w:p>
        </w:tc>
      </w:tr>
      <w:tr>
        <w:trPr>
          <w:cantSplit/>
        </w:trPr>
        <w:tc>
          <w:tcPr>
            <w:tcW w:type="dxa" w:w="4819"/>
            <w:vAlign w:val="top"/>
          </w:tcPr>
          <w:p>
            <w:pPr>
              <w:keepNext/>
              <w:spacing w:before="400" w:after="0"/>
              <w:jc w:val="center"/>
              <w:pBdr>
                <w:top w:val="single" w:sz="6" w:color="14313A" w:space="4"/>
              </w:pBdr>
            </w:pPr>
            <w:r>
              <w:rPr>
                <w:rFonts w:ascii="Poppins" w:hAnsi="Poppins" w:eastAsia="Poppins"/>
                <w:b/>
                <w:i w:val="0"/>
                <w:color w:val="14313A"/>
                <w:sz w:val="19"/>
              </w:rPr>
              <w:t>JUAN JOSÉ CASTILLO</w:t>
            </w:r>
          </w:p>
          <w:p>
            <w:pPr>
              <w:keepNext/>
              <w:spacing w:after="0"/>
              <w:jc w:val="center"/>
            </w:pPr>
            <w:r>
              <w:rPr>
                <w:rFonts w:ascii="Poppins" w:hAnsi="Poppins" w:eastAsia="Poppins"/>
                <w:b/>
                <w:i w:val="0"/>
                <w:color w:val="2A2620"/>
                <w:sz w:val="16"/>
              </w:rPr>
              <w:t>Broker Inmobiliario</w:t>
            </w:r>
          </w:p>
          <w:p>
            <w:pPr>
              <w:keepNext/>
              <w:spacing w:after="0"/>
              <w:jc w:val="center"/>
            </w:pPr>
            <w:r>
              <w:rPr>
                <w:rFonts w:ascii="Poppins" w:hAnsi="Poppins" w:eastAsia="Poppins"/>
                <w:b/>
                <w:i w:val="0"/>
                <w:color w:val="14313A"/>
                <w:sz w:val="16"/>
              </w:rPr>
              <w:t>MERIDIANO CAPITAL</w:t>
            </w:r>
          </w:p>
          <w:p>
            <w:pPr>
              <w:keepNext w:val="0"/>
              <w:spacing w:after="0"/>
              <w:jc w:val="center"/>
            </w:pPr>
            <w:r>
              <w:rPr>
                <w:rFonts w:ascii="Poppins" w:hAnsi="Poppins" w:eastAsia="Poppins"/>
                <w:b/>
                <w:i w:val="0"/>
                <w:color w:val="A87D22"/>
                <w:sz w:val="16"/>
              </w:rPr>
              <w:t>Inmobiliaria colocadora</w:t>
            </w:r>
          </w:p>
        </w:tc>
        <w:tc>
          <w:tcPr>
            <w:tcW w:type="dxa" w:w="4819"/>
            <w:vAlign w:val="top"/>
          </w:tcPr>
          <w:p>
            <w:pPr>
              <w:keepNext/>
              <w:spacing w:before="400" w:after="0"/>
              <w:jc w:val="center"/>
              <w:pBdr>
                <w:top w:val="single" w:sz="6" w:color="14313A" w:space="4"/>
              </w:pBdr>
            </w:pPr>
            <w:r>
              <w:rPr>
                <w:rFonts w:ascii="Poppins" w:hAnsi="Poppins" w:eastAsia="Poppins"/>
                <w:b/>
                <w:i w:val="0"/>
                <w:color w:val="14313A"/>
                <w:sz w:val="19"/>
              </w:rPr>
              <w:t>LOURDES BARATTO</w:t>
            </w:r>
          </w:p>
          <w:p>
            <w:pPr>
              <w:keepNext/>
              <w:spacing w:after="0"/>
              <w:jc w:val="center"/>
            </w:pPr>
            <w:r>
              <w:rPr>
                <w:rFonts w:ascii="Poppins" w:hAnsi="Poppins" w:eastAsia="Poppins"/>
                <w:b w:val="0"/>
                <w:i w:val="0"/>
                <w:color w:val="2A2620"/>
                <w:sz w:val="16"/>
              </w:rPr>
              <w:t>C.I. N.º 4480441</w:t>
            </w:r>
          </w:p>
          <w:p>
            <w:pPr>
              <w:keepNext w:val="0"/>
              <w:spacing w:after="0"/>
              <w:jc w:val="center"/>
            </w:pPr>
            <w:r>
              <w:rPr>
                <w:rFonts w:ascii="Poppins" w:hAnsi="Poppins" w:eastAsia="Poppins"/>
                <w:b/>
                <w:i w:val="0"/>
                <w:color w:val="A87D22"/>
                <w:sz w:val="16"/>
              </w:rPr>
              <w:t>ASESORA INMOBILIARIA</w:t>
            </w:r>
          </w:p>
        </w:tc>
      </w:tr>
    </w:tbl>
    <w:p>
      <w:pPr>
        <w:keepNext/>
        <w:spacing w:before="0" w:after="60" w:line="250" w:lineRule="auto"/>
        <w:jc w:val="left"/>
        <w:pageBreakBefore/>
        <w:pBdr>
          <w:bottom w:val="single" w:sz="4" w:color="DAD2C0" w:space="2"/>
        </w:pBdr>
      </w:pPr>
      <w:r>
        <w:rPr>
          <w:rFonts w:ascii="Fraunces" w:hAnsi="Fraunces" w:eastAsia="Fraunces"/>
          <w:b w:val="0"/>
          <w:i w:val="0"/>
          <w:color w:val="14313A"/>
          <w:sz w:val="24"/>
        </w:rPr>
        <w:t>Constancia de recepción</w:t>
      </w:r>
    </w:p>
    <w:p>
      <w:pPr>
        <w:keepNext w:val="0"/>
        <w:spacing w:before="0" w:after="100" w:line="250" w:lineRule="auto"/>
        <w:jc w:val="both"/>
      </w:pPr>
      <w:r>
        <w:rPr>
          <w:rFonts w:ascii="Poppins" w:hAnsi="Poppins" w:eastAsia="Poppins"/>
          <w:b w:val="0"/>
          <w:i w:val="0"/>
          <w:color w:val="2A2620"/>
          <w:sz w:val="18"/>
        </w:rPr>
        <w:t>Recibí copia de esta respuesta y contraoferta. Esta constancia acredita únicamente la recepción y no implica aceptación.</w:t>
      </w:r>
    </w:p>
    <w:tbl>
      <w:tblPr>
        <w:tblW w:type="dxa" w:w="9639"/>
        <w:tblLook w:firstColumn="1" w:firstRow="1" w:lastColumn="0" w:lastRow="0" w:noHBand="0" w:noVBand="1" w:val="04A0"/>
        <w:jc w:val="center"/>
        <w:tblBorders>
          <w:top w:val="single" w:sz="4" w:color="DAD2C0"/>
          <w:left w:val="single" w:sz="4" w:color="DAD2C0"/>
          <w:bottom w:val="single" w:sz="4" w:color="DAD2C0"/>
          <w:right w:val="single" w:sz="4" w:color="DAD2C0"/>
          <w:insideH w:val="single" w:sz="4" w:color="DAD2C0"/>
          <w:insideV w:val="single" w:sz="4" w:color="DAD2C0"/>
        </w:tblBorders>
        <w:tblLayout w:type="fixed"/>
        <w:tblCellMar>
          <w:top w:w="30" w:type="dxa"/>
          <w:bottom w:w="30" w:type="dxa"/>
          <w:left w:w="110" w:type="dxa"/>
          <w:right w:w="110" w:type="dxa"/>
        </w:tblCellMar>
        <w:tblLayout w:type="fixed"/>
      </w:tblPr>
      <w:tblGrid>
        <w:gridCol w:w="2835"/>
        <w:gridCol w:w="6803"/>
      </w:tblGrid>
      <w:tr>
        <w:trPr>
          <w:cantSplit/>
        </w:trPr>
        <w:tc>
          <w:tcPr>
            <w:tcW w:type="dxa" w:w="2835"/>
            <w:shd w:val="clear" w:color="auto" w:fill="F3EDE3"/>
            <w:vAlign w:val="center"/>
          </w:tcPr>
          <w:p>
            <w:pPr>
              <w:spacing w:after="0"/>
              <w:jc w:val="left"/>
            </w:pPr>
            <w:r>
              <w:rPr>
                <w:rFonts w:ascii="Poppins" w:hAnsi="Poppins" w:eastAsia="Poppins"/>
                <w:b/>
                <w:i w:val="0"/>
                <w:color w:val="14313A"/>
                <w:sz w:val="15"/>
              </w:rPr>
              <w:t>FECHA Y HORA DE RECEPCIÓN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  <w:jc w:val="left"/>
            </w:pPr>
            <w:r>
              <w:rPr>
                <w:rFonts w:ascii="Poppins" w:hAnsi="Poppins" w:eastAsia="Poppins"/>
                <w:b w:val="0"/>
                <w:i w:val="0"/>
                <w:color w:val="2A2620"/>
                <w:sz w:val="17"/>
              </w:rPr>
              <w:t>____ / ____ / ________ · ____ : ____ hs (hora de Asunción)</w:t>
            </w:r>
          </w:p>
        </w:tc>
      </w:tr>
      <w:tr>
        <w:trPr>
          <w:cantSplit/>
          <w:trHeight w:val="737"/>
        </w:trPr>
        <w:tc>
          <w:tcPr>
            <w:tcW w:type="dxa" w:w="2835"/>
            <w:shd w:val="clear" w:color="auto" w:fill="F3EDE3"/>
            <w:vAlign w:val="center"/>
          </w:tcPr>
          <w:p>
            <w:pPr>
              <w:spacing w:after="0"/>
              <w:jc w:val="left"/>
            </w:pPr>
            <w:r>
              <w:rPr>
                <w:rFonts w:ascii="Poppins" w:hAnsi="Poppins" w:eastAsia="Poppins"/>
                <w:b/>
                <w:i w:val="0"/>
                <w:color w:val="14313A"/>
                <w:sz w:val="15"/>
              </w:rPr>
              <w:t>FIRMA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  <w:jc w:val="left"/>
            </w:pPr>
            <w:r>
              <w:rPr>
                <w:rFonts w:ascii="Poppins" w:hAnsi="Poppins" w:eastAsia="Poppins"/>
                <w:b w:val="0"/>
                <w:i w:val="0"/>
                <w:color w:val="2A2620"/>
                <w:sz w:val="17"/>
              </w:rPr>
            </w:r>
          </w:p>
        </w:tc>
      </w:tr>
      <w:tr>
        <w:trPr>
          <w:cantSplit/>
        </w:trPr>
        <w:tc>
          <w:tcPr>
            <w:tcW w:type="dxa" w:w="2835"/>
            <w:shd w:val="clear" w:color="auto" w:fill="F3EDE3"/>
            <w:vAlign w:val="center"/>
          </w:tcPr>
          <w:p>
            <w:pPr>
              <w:spacing w:after="0"/>
              <w:jc w:val="left"/>
            </w:pPr>
            <w:r>
              <w:rPr>
                <w:rFonts w:ascii="Poppins" w:hAnsi="Poppins" w:eastAsia="Poppins"/>
                <w:b/>
                <w:i w:val="0"/>
                <w:color w:val="14313A"/>
                <w:sz w:val="15"/>
              </w:rPr>
              <w:t>ACLARACIÓN Y DOCUMENTO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  <w:jc w:val="left"/>
            </w:pPr>
            <w:r>
              <w:rPr>
                <w:rFonts w:ascii="Poppins" w:hAnsi="Poppins" w:eastAsia="Poppins"/>
                <w:b w:val="0"/>
                <w:i w:val="0"/>
                <w:color w:val="2A2620"/>
                <w:sz w:val="17"/>
              </w:rPr>
              <w:t>Matías Manzato · C.I. N.º 9489984</w:t>
            </w:r>
          </w:p>
        </w:tc>
      </w:tr>
    </w:tbl>
    <w:p>
      <w:pPr>
        <w:keepNext/>
        <w:spacing w:before="280" w:after="60" w:line="250" w:lineRule="auto"/>
        <w:jc w:val="left"/>
        <w:pBdr>
          <w:bottom w:val="single" w:sz="4" w:color="DAD2C0" w:space="2"/>
        </w:pBdr>
      </w:pPr>
      <w:r>
        <w:rPr>
          <w:rFonts w:ascii="Fraunces" w:hAnsi="Fraunces" w:eastAsia="Fraunces"/>
          <w:b w:val="0"/>
          <w:i w:val="0"/>
          <w:color w:val="14313A"/>
          <w:sz w:val="24"/>
        </w:rPr>
        <w:t>Respuesta de la parte compradora</w:t>
      </w:r>
    </w:p>
    <w:p>
      <w:pPr>
        <w:keepNext w:val="0"/>
        <w:spacing w:before="0" w:after="60" w:line="250" w:lineRule="auto"/>
        <w:jc w:val="left"/>
      </w:pPr>
      <w:r>
        <w:rPr>
          <w:rFonts w:ascii="Poppins" w:hAnsi="Poppins" w:eastAsia="Poppins"/>
          <w:b w:val="0"/>
          <w:i w:val="0"/>
          <w:color w:val="2A2620"/>
          <w:sz w:val="18"/>
        </w:rPr>
        <w:t>Marcar una sola opción:</w:t>
      </w:r>
    </w:p>
    <w:p>
      <w:pPr>
        <w:keepNext w:val="0"/>
        <w:spacing w:before="0" w:after="60" w:line="250" w:lineRule="auto"/>
        <w:jc w:val="left"/>
      </w:pPr>
      <w:r>
        <w:rPr>
          <w:rFonts w:ascii="Poppins" w:hAnsi="Poppins" w:eastAsia="Poppins"/>
          <w:b w:val="0"/>
          <w:i w:val="0"/>
          <w:color w:val="14313A"/>
          <w:sz w:val="20"/>
        </w:rPr>
        <w:t xml:space="preserve">☐  </w:t>
      </w:r>
      <w:r>
        <w:rPr>
          <w:rFonts w:ascii="Poppins" w:hAnsi="Poppins" w:eastAsia="Poppins"/>
          <w:b w:val="0"/>
          <w:i w:val="0"/>
          <w:color w:val="2A2620"/>
          <w:sz w:val="18"/>
        </w:rPr>
        <w:t>Acepto íntegramente la contraoferta en los términos de esta carta.</w:t>
      </w:r>
    </w:p>
    <w:p>
      <w:pPr>
        <w:keepNext w:val="0"/>
        <w:spacing w:before="0" w:after="60" w:line="250" w:lineRule="auto"/>
        <w:jc w:val="left"/>
      </w:pPr>
      <w:r>
        <w:rPr>
          <w:rFonts w:ascii="Poppins" w:hAnsi="Poppins" w:eastAsia="Poppins"/>
          <w:b w:val="0"/>
          <w:i w:val="0"/>
          <w:color w:val="14313A"/>
          <w:sz w:val="20"/>
        </w:rPr>
        <w:t xml:space="preserve">☐  </w:t>
      </w:r>
      <w:r>
        <w:rPr>
          <w:rFonts w:ascii="Poppins" w:hAnsi="Poppins" w:eastAsia="Poppins"/>
          <w:b w:val="0"/>
          <w:i w:val="0"/>
          <w:color w:val="2A2620"/>
          <w:sz w:val="18"/>
        </w:rPr>
        <w:t>Rechazo la contraoferta.</w:t>
      </w:r>
    </w:p>
    <w:p>
      <w:pPr>
        <w:keepNext w:val="0"/>
        <w:spacing w:before="0" w:after="60" w:line="250" w:lineRule="auto"/>
        <w:jc w:val="left"/>
      </w:pPr>
      <w:r>
        <w:rPr>
          <w:rFonts w:ascii="Poppins" w:hAnsi="Poppins" w:eastAsia="Poppins"/>
          <w:b w:val="0"/>
          <w:i w:val="0"/>
          <w:color w:val="14313A"/>
          <w:sz w:val="20"/>
        </w:rPr>
        <w:t xml:space="preserve">☐  </w:t>
      </w:r>
      <w:r>
        <w:rPr>
          <w:rFonts w:ascii="Poppins" w:hAnsi="Poppins" w:eastAsia="Poppins"/>
          <w:b w:val="0"/>
          <w:i w:val="0"/>
          <w:color w:val="2A2620"/>
          <w:sz w:val="18"/>
        </w:rPr>
        <w:t>Formulo la siguiente contrapropuesta (no implica aceptación de los términos de esta carta):</w:t>
      </w:r>
    </w:p>
    <w:tbl>
      <w:tblPr>
        <w:tblW w:type="dxa" w:w="9639"/>
        <w:tblLayout w:type="fixed"/>
        <w:tblLook w:firstColumn="1" w:firstRow="1" w:lastColumn="0" w:lastRow="0" w:noHBand="0" w:noVBand="1" w:val="04A0"/>
        <w:tblBorders>
          <w:top w:val="single" w:sz="4" w:color="DAD2C0"/>
          <w:left w:val="single" w:sz="4" w:color="DAD2C0"/>
          <w:bottom w:val="single" w:sz="4" w:color="DAD2C0"/>
          <w:right w:val="single" w:sz="4" w:color="DAD2C0"/>
        </w:tblBorders>
        <w:tblLayout w:type="fixed"/>
      </w:tblPr>
      <w:tblGrid>
        <w:gridCol w:w="9638"/>
      </w:tblGrid>
      <w:tr>
        <w:trPr>
          <w:trHeight w:val="1814"/>
        </w:trPr>
        <w:tc>
          <w:tcPr>
            <w:tcW w:type="dxa" w:w="9638"/>
          </w:tcPr>
          <w:p/>
        </w:tc>
      </w:tr>
    </w:tbl>
    <w:p>
      <w:pPr>
        <w:keepNext w:val="0"/>
        <w:spacing w:before="160" w:after="100" w:line="250" w:lineRule="auto"/>
        <w:jc w:val="both"/>
      </w:pPr>
      <w:r>
        <w:rPr>
          <w:rFonts w:ascii="Poppins" w:hAnsi="Poppins" w:eastAsia="Poppins"/>
          <w:b w:val="0"/>
          <w:i w:val="0"/>
          <w:color w:val="2A2620"/>
          <w:sz w:val="18"/>
        </w:rPr>
        <w:t>En caso de aceptación, las partes instrumentarán la operación por escrito conforme a las condiciones detalladas en esta carta, con la intervención de los asesores inmobiliarios y de la escribanía que corresponda.</w:t>
      </w:r>
    </w:p>
    <w:tbl>
      <w:tblPr>
        <w:tblW w:type="dxa" w:w="9639"/>
        <w:tblLook w:firstColumn="1" w:firstRow="1" w:lastColumn="0" w:lastRow="0" w:noHBand="0" w:noVBand="1" w:val="04A0"/>
        <w:jc w:val="center"/>
        <w:tblBorders>
          <w:top w:val="single" w:sz="4" w:color="DAD2C0"/>
          <w:left w:val="single" w:sz="4" w:color="DAD2C0"/>
          <w:bottom w:val="single" w:sz="4" w:color="DAD2C0"/>
          <w:right w:val="single" w:sz="4" w:color="DAD2C0"/>
          <w:insideH w:val="single" w:sz="4" w:color="DAD2C0"/>
          <w:insideV w:val="single" w:sz="4" w:color="DAD2C0"/>
        </w:tblBorders>
        <w:tblLayout w:type="fixed"/>
        <w:tblCellMar>
          <w:top w:w="30" w:type="dxa"/>
          <w:bottom w:w="30" w:type="dxa"/>
          <w:left w:w="110" w:type="dxa"/>
          <w:right w:w="110" w:type="dxa"/>
        </w:tblCellMar>
        <w:tblLayout w:type="fixed"/>
      </w:tblPr>
      <w:tblGrid>
        <w:gridCol w:w="2835"/>
        <w:gridCol w:w="6803"/>
      </w:tblGrid>
      <w:tr>
        <w:trPr>
          <w:cantSplit/>
          <w:trHeight w:val="737"/>
        </w:trPr>
        <w:tc>
          <w:tcPr>
            <w:tcW w:type="dxa" w:w="2835"/>
            <w:shd w:val="clear" w:color="auto" w:fill="F3EDE3"/>
            <w:vAlign w:val="center"/>
          </w:tcPr>
          <w:p>
            <w:pPr>
              <w:spacing w:after="0"/>
              <w:jc w:val="left"/>
            </w:pPr>
            <w:r>
              <w:rPr>
                <w:rFonts w:ascii="Poppins" w:hAnsi="Poppins" w:eastAsia="Poppins"/>
                <w:b/>
                <w:i w:val="0"/>
                <w:color w:val="14313A"/>
                <w:sz w:val="15"/>
              </w:rPr>
              <w:t>FIRMA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  <w:jc w:val="left"/>
            </w:pPr>
            <w:r>
              <w:rPr>
                <w:rFonts w:ascii="Poppins" w:hAnsi="Poppins" w:eastAsia="Poppins"/>
                <w:b w:val="0"/>
                <w:i w:val="0"/>
                <w:color w:val="2A2620"/>
                <w:sz w:val="17"/>
              </w:rPr>
            </w:r>
          </w:p>
        </w:tc>
      </w:tr>
      <w:tr>
        <w:trPr>
          <w:cantSplit/>
        </w:trPr>
        <w:tc>
          <w:tcPr>
            <w:tcW w:type="dxa" w:w="2835"/>
            <w:shd w:val="clear" w:color="auto" w:fill="F3EDE3"/>
            <w:vAlign w:val="center"/>
          </w:tcPr>
          <w:p>
            <w:pPr>
              <w:spacing w:after="0"/>
              <w:jc w:val="left"/>
            </w:pPr>
            <w:r>
              <w:rPr>
                <w:rFonts w:ascii="Poppins" w:hAnsi="Poppins" w:eastAsia="Poppins"/>
                <w:b/>
                <w:i w:val="0"/>
                <w:color w:val="14313A"/>
                <w:sz w:val="15"/>
              </w:rPr>
              <w:t>ACLARACIÓN Y C.I. N.º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  <w:jc w:val="left"/>
            </w:pPr>
            <w:r>
              <w:rPr>
                <w:rFonts w:ascii="Poppins" w:hAnsi="Poppins" w:eastAsia="Poppins"/>
                <w:b w:val="0"/>
                <w:i w:val="0"/>
                <w:color w:val="2A2620"/>
                <w:sz w:val="17"/>
              </w:rPr>
              <w:t>Matías Manzato · C.I. N.º 9489984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3EDE3"/>
            <w:vAlign w:val="center"/>
          </w:tcPr>
          <w:p>
            <w:pPr>
              <w:spacing w:after="0"/>
              <w:jc w:val="left"/>
            </w:pPr>
            <w:r>
              <w:rPr>
                <w:rFonts w:ascii="Poppins" w:hAnsi="Poppins" w:eastAsia="Poppins"/>
                <w:b/>
                <w:i w:val="0"/>
                <w:color w:val="14313A"/>
                <w:sz w:val="15"/>
              </w:rPr>
              <w:t>FECHA Y HORA</w:t>
            </w:r>
          </w:p>
        </w:tc>
        <w:tc>
          <w:tcPr>
            <w:tcW w:type="dxa" w:w="6803"/>
            <w:vAlign w:val="center"/>
          </w:tcPr>
          <w:p>
            <w:pPr>
              <w:spacing w:after="0"/>
              <w:jc w:val="left"/>
            </w:pPr>
            <w:r>
              <w:rPr>
                <w:rFonts w:ascii="Poppins" w:hAnsi="Poppins" w:eastAsia="Poppins"/>
                <w:b w:val="0"/>
                <w:i w:val="0"/>
                <w:color w:val="2A2620"/>
                <w:sz w:val="17"/>
              </w:rPr>
              <w:t>____ / ____ / ________ · ____ : ____ hs (hora de Asunción)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850" w:left="1134" w:header="454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oppins" w:hAnsi="Poppins" w:eastAsia="Poppins"/>
        <w:b w:val="0"/>
        <w:i w:val="0"/>
        <w:color w:val="6B6154"/>
        <w:sz w:val="14"/>
      </w:rPr>
      <w:t>Meridiano Capital · Asunción, Paraguay · +595 982 853 111 · juancastillo@meridianocapital.net · www.meridianocapital.net</w:t>
    </w:r>
  </w:p>
  <w:p>
    <w:pPr>
      <w:jc w:val="center"/>
    </w:pPr>
    <w:r>
      <w:rPr>
        <w:rFonts w:ascii="Poppins" w:hAnsi="Poppins" w:eastAsia="Poppins"/>
        <w:b w:val="0"/>
        <w:i w:val="0"/>
        <w:color w:val="6B6154"/>
        <w:sz w:val="14"/>
      </w:rPr>
      <w:t xml:space="preserve">Página </w:t>
    </w:r>
    <w:r>
      <w:rPr>
        <w:rFonts w:ascii="Poppins" w:hAnsi="Poppins" w:eastAsia="Poppins"/>
        <w:b w:val="0"/>
        <w:i w:val="0"/>
        <w:color w:val="6B6154"/>
        <w:sz w:val="14"/>
      </w:rPr>
      <w:fldChar w:fldCharType="begin"/>
      <w:instrText xml:space="preserve">PAGE</w:instrText>
      <w:fldChar w:fldCharType="end"/>
    </w:r>
    <w:r>
      <w:rPr>
        <w:rFonts w:ascii="Poppins" w:hAnsi="Poppins" w:eastAsia="Poppins"/>
        <w:b w:val="0"/>
        <w:i w:val="0"/>
        <w:color w:val="6B6154"/>
        <w:sz w:val="14"/>
      </w:rPr>
      <w:t xml:space="preserve"> de </w:t>
    </w:r>
    <w:r>
      <w:rPr>
        <w:rFonts w:ascii="Poppins" w:hAnsi="Poppins" w:eastAsia="Poppins"/>
        <w:b w:val="0"/>
        <w:i w:val="0"/>
        <w:color w:val="6B6154"/>
        <w:sz w:val="14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342832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42832" cy="360000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after="0"/>
      <w:pBdr>
        <w:bottom w:val="single" w:sz="4" w:color="C9982E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oppins" w:hAnsi="Poppi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