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drawing>
          <wp:inline distT="0" distB="0" distL="0" distR="0">
            <wp:extent cx="4000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80"/>
        <w:jc w:val="center"/>
      </w:pPr>
      <w:r>
        <w:rPr>
          <w:rFonts w:ascii="Poppins" w:cs="Poppins" w:eastAsia="Poppins" w:hAnsi="Poppins"/>
          <w:b/>
          <w:bCs/>
          <w:color w:val="2A2620"/>
          <w:spacing w:val="60"/>
          <w:sz w:val="22"/>
          <w:szCs w:val="22"/>
        </w:rPr>
        <w:t xml:space="preserve">URBANNIT</w:t>
      </w:r>
    </w:p>
    <w:p>
      <w:pPr>
        <w:spacing w:after="260"/>
        <w:jc w:val="center"/>
      </w:pPr>
      <w:r>
        <w:rPr>
          <w:rFonts w:ascii="Poppins" w:cs="Poppins" w:eastAsia="Poppins" w:hAnsi="Poppins"/>
          <w:i/>
          <w:iCs/>
          <w:color w:val="6B6154"/>
          <w:sz w:val="14"/>
          <w:szCs w:val="14"/>
        </w:rPr>
        <w:t xml:space="preserve">gestionado por Meridiano Capital</w:t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olor w:val="2A2620"/>
          <w:sz w:val="23"/>
          <w:szCs w:val="23"/>
        </w:rPr>
        <w:t xml:space="preserve">ANEXO I — INVENTARIO DEL INMUEBLE</w:t>
      </w:r>
    </w:p>
    <w:p>
      <w:pPr>
        <w:spacing w:after="300"/>
        <w:jc w:val="center"/>
      </w:pPr>
      <w:r>
        <w:rPr>
          <w:rFonts w:ascii="Poppins" w:cs="Poppins" w:eastAsia="Poppins" w:hAnsi="Poppins"/>
          <w:i/>
          <w:iCs/>
          <w:color w:val="6B6154"/>
          <w:sz w:val="14"/>
          <w:szCs w:val="14"/>
        </w:rPr>
        <w:t xml:space="preserve">URB-CON-002 · versión 1.0 (borrador) · Anexo integrante del Contrato de Administración de Alquiler Temporal (URB-CON-001)</w:t>
      </w:r>
    </w:p>
    <w:p>
      <w:pPr>
        <w:spacing w:after="260"/>
        <w:jc w:val="both"/>
      </w:pPr>
      <w:r>
        <w:rPr>
          <w:rFonts w:ascii="Poppins" w:cs="Poppins" w:eastAsia="Poppins" w:hAnsi="Poppins"/>
          <w:color w:val="2A2620"/>
          <w:sz w:val="18"/>
          <w:szCs w:val="18"/>
        </w:rPr>
        <w:t xml:space="preserve">Este Anexo forma parte integral del Contrato de Administración de Alquiler Temporal celebrado entre [NOMBRE DEL PROPIETARIO] (EL PROPIETARIO) y Campo Agreste S.A. — RUC 80093513-6 (URBANNIT), respecto del inmueble ubicado en [DIRECCIÓN COMPLETA], Asunción, de fecha [FECHA]. Detalla los bienes y el equipamiento entregados por EL PROPIETARIO al inicio de la gestión, conforme a la Cláusula 2.3 de dicho contrato.</w:t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Mobiliario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Cama(s) con colchón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Mesa(s) de luz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Ropero / placard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Sofá / sillones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Mesa y sillas de comedor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Escritorio (si aplica)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Electrodomésticos y climatización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Aire acondicionado (unidades)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Televisor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Heladera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Cocina / horno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Microondas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Cafetera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Hervidor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Tostadora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Lavarropas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Ropa de cama y baño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Juegos de sábanas (mínimo 3)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Toallas de baño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Toallas pequeñas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Toalla grande por huésped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Toalla pequeña por huésped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Alfombra de baño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Toallas de pileta (si aplica)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Cocina equipada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Ollas y sartenes (varios tamaños)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Platos llanos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Platos hondos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Platos de postre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Vasos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Copas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Bowls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Tazas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Cubiertos completos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Cuchillo de cocina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Tabla para cortar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Abrelatas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Sacacorchos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Cucharón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Espátula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Colador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Ensaladera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Fuentes para servir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Baño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Dispensador de jabón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Botiquín básico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Dispensador de champú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Dispensador de crema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Dispensador de jabón de ducha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Secador de pelo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Basurero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Cepillo de inodoro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Sopapa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Limpieza y mantenimiento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Plancha y tabla de planchar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Trapo de piso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Repasadores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Esponja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Virulana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Escoba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Palita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Plumero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Mopa y balde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Kit de limpieza para parrilla (si aplica)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Kit churrasquero (si aplica)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Lavado y secado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Tendedero para secar ropa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Broches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Llaves y accesos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4600"/>
        <w:gridCol w:w="1400"/>
        <w:gridCol w:w="1400"/>
        <w:gridCol w:w="1600"/>
      </w:tblGrid>
      <w:tr>
        <w:trPr>
          <w:tblHeader/>
        </w:trPr>
        <w:tc>
          <w:tcPr>
            <w:tcW w:type="dxa" w:w="4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Cant. entregada</w:t>
            </w:r>
          </w:p>
        </w:tc>
        <w:tc>
          <w:tcPr>
            <w:tcW w:type="dxa" w:w="14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00"/>
            <w:shd w:fill="A87D2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Juegos de llaves entregados a URBANNIT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Tipo de cerradura / sistema de acceso</w:t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1E8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Código o control de portón / edificio (si aplica)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keepNext/>
        <w:spacing w:after="100" w:before="30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Espacio de almacenamiento</w:t>
      </w:r>
    </w:p>
    <w:p>
      <w:pPr>
        <w:spacing w:after="80"/>
      </w:pPr>
      <w:r>
        <w:rPr>
          <w:rFonts w:ascii="Poppins" w:cs="Poppins" w:eastAsia="Poppins" w:hAnsi="Poppins"/>
          <w:color w:val="2A2620"/>
          <w:sz w:val="18"/>
          <w:szCs w:val="18"/>
        </w:rPr>
        <w:t xml:space="preserve">¿EL INMUEBLE cuenta con un espacio (armario cerrado, depósito, o lugar en el edificio) para guardar sábanas y toallas extra, amenities de reposición y productos de limpieza?  Sí ☐   No ☐</w:t>
      </w:r>
    </w:p>
    <w:p>
      <w:pPr>
        <w:spacing w:after="260"/>
      </w:pPr>
      <w:r>
        <w:rPr>
          <w:rFonts w:ascii="Poppins" w:cs="Poppins" w:eastAsia="Poppins" w:hAnsi="Poppins"/>
          <w:color w:val="2A2620"/>
          <w:sz w:val="18"/>
          <w:szCs w:val="18"/>
        </w:rPr>
        <w:t xml:space="preserve">Ubicación: ______________________________________________</w:t>
      </w:r>
    </w:p>
    <w:p>
      <w:r>
        <w:br w:type="page"/>
      </w:r>
    </w:p>
    <w:p>
      <w:pPr>
        <w:spacing w:after="400"/>
        <w:jc w:val="both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EL PROPIETARIO entrega y URBANNIT recibe los bienes y el equipamiento detallados en este Anexo, en el estado indicado en cada categoría, en la fecha consignada en el encabezado.</w:t>
      </w:r>
    </w:p>
    <w:p>
      <w:pPr>
        <w:spacing w:after="6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pBdr>
                <w:top w:val="single" w:color="D8CDB8" w:sz="4"/>
              </w:pBdr>
              <w:spacing w:after="20" w:before="300"/>
            </w:pPr>
            <w:r>
              <w:rPr>
                <w:sz w:val="2"/>
                <w:szCs w:val="2"/>
              </w:rPr>
              <w:t xml:space="preserve"/>
            </w:r>
          </w:p>
          <w:p>
            <w:r>
              <w:rPr>
                <w:rFonts w:ascii="Poppins" w:cs="Poppins" w:eastAsia="Poppins" w:hAnsi="Poppins"/>
                <w:color w:val="2A2620"/>
                <w:sz w:val="17"/>
                <w:szCs w:val="17"/>
              </w:rPr>
              <w:t xml:space="preserve">[NOMBRE DEL PROPIETARIO]</w:t>
            </w:r>
          </w:p>
          <w:p>
            <w:r>
              <w:rPr>
                <w:rFonts w:ascii="Poppins" w:cs="Poppins" w:eastAsia="Poppins" w:hAnsi="Poppins"/>
                <w:color w:val="6B6154"/>
                <w:sz w:val="16"/>
                <w:szCs w:val="16"/>
              </w:rPr>
              <w:t xml:space="preserve">C.I. N° [NÚMERO]</w:t>
            </w:r>
          </w:p>
        </w:tc>
        <w:tc>
          <w:tcPr>
            <w:tcW w:type="dxa" w:w="4500"/>
          </w:tcPr>
          <w:p>
            <w:pPr>
              <w:pBdr>
                <w:top w:val="single" w:color="D8CDB8" w:sz="4"/>
              </w:pBdr>
              <w:spacing w:after="20" w:before="300"/>
            </w:pPr>
            <w:r>
              <w:rPr>
                <w:sz w:val="2"/>
                <w:szCs w:val="2"/>
              </w:rPr>
              <w:t xml:space="preserve"/>
            </w:r>
          </w:p>
          <w:p>
            <w:r>
              <w:rPr>
                <w:rFonts w:ascii="Poppins" w:cs="Poppins" w:eastAsia="Poppins" w:hAnsi="Poppins"/>
                <w:b/>
                <w:bCs/>
                <w:color w:val="2A2620"/>
                <w:sz w:val="17"/>
                <w:szCs w:val="17"/>
              </w:rPr>
              <w:t xml:space="preserve">P/ Campo Agreste S.A. — RUC 80093513-6</w:t>
            </w:r>
          </w:p>
          <w:p>
            <w:r>
              <w:rPr>
                <w:rFonts w:ascii="Poppins" w:cs="Poppins" w:eastAsia="Poppins" w:hAnsi="Poppins"/>
                <w:i/>
                <w:iCs/>
                <w:color w:val="6B6154"/>
                <w:sz w:val="15"/>
                <w:szCs w:val="15"/>
              </w:rPr>
              <w:t xml:space="preserve">(opera Urbannit, gestionado por Meridiano Capital)</w:t>
            </w:r>
          </w:p>
          <w:p>
            <w:r>
              <w:rPr>
                <w:rFonts w:ascii="Poppins" w:cs="Poppins" w:eastAsia="Poppins" w:hAnsi="Poppins"/>
                <w:color w:val="2A2620"/>
                <w:sz w:val="16"/>
                <w:szCs w:val="16"/>
              </w:rPr>
              <w:t xml:space="preserve">Juan José Castillo — Representante Legal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6154"/>
        <w:sz w:val="14"/>
        <w:szCs w:val="14"/>
      </w:rPr>
      <w:t xml:space="preserve">Borrador · Anexo de URB-CON-001 · Página </w:t>
    </w:r>
    <w:r>
      <w:rPr>
        <w:rFonts w:ascii="Poppins" w:cs="Poppins" w:eastAsia="Poppins" w:hAnsi="Poppins"/>
        <w:color w:val="6B615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B6154"/>
        <w:sz w:val="14"/>
        <w:szCs w:val="14"/>
      </w:rPr>
      <w:t xml:space="preserve">URBANNIT — gestionado por Meridiano Capital · Anexo I — Inventario del Inmueble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A262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3f003658057098a27c4d8d1d07d358977e3a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 — Inventario del Inmueble (borrador URB-CON-002)</dc:title>
  <dc:creator>Urbannit — gestionado por Meridiano Capital</dc:creator>
  <cp:lastModifiedBy>Un-named</cp:lastModifiedBy>
  <cp:revision>1</cp:revision>
  <dcterms:created xsi:type="dcterms:W3CDTF">2026-08-12T19:14:59.957Z</dcterms:created>
  <dcterms:modified xsi:type="dcterms:W3CDTF">2026-08-12T19:15:00.004Z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