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0" w:line="254" w:lineRule="auto"/>
        <w:jc w:val="right"/>
      </w:pPr>
      <w:r>
        <w:rPr>
          <w:rFonts w:ascii="Poppins" w:hAnsi="Poppins" w:eastAsia="Poppins"/>
          <w:b w:val="0"/>
          <w:i w:val="0"/>
          <w:color w:val="6B6154"/>
          <w:sz w:val="19"/>
        </w:rPr>
        <w:t>Asunción, 23 de octubre de 2026</w:t>
      </w:r>
    </w:p>
    <w:p>
      <w:pPr>
        <w:keepNext w:val="0"/>
        <w:spacing w:before="0" w:after="120" w:line="254" w:lineRule="auto"/>
        <w:jc w:val="right"/>
      </w:pPr>
      <w:r>
        <w:rPr>
          <w:rFonts w:ascii="Poppins" w:hAnsi="Poppins" w:eastAsia="Poppins"/>
          <w:b w:val="0"/>
          <w:i/>
          <w:color w:val="6B6154"/>
          <w:sz w:val="17"/>
        </w:rPr>
        <w:t>Ref.: Propuesta formal de compra del 16 de octubre de 2026 por USD 700.000</w:t>
      </w:r>
    </w:p>
    <w:p>
      <w:pPr>
        <w:keepNext w:val="0"/>
        <w:spacing w:before="0" w:after="20" w:line="254" w:lineRule="auto"/>
        <w:jc w:val="left"/>
      </w:pPr>
      <w:r>
        <w:rPr>
          <w:rFonts w:ascii="Fraunces" w:hAnsi="Fraunces" w:eastAsia="Fraunces"/>
          <w:b w:val="0"/>
          <w:i w:val="0"/>
          <w:color w:val="14313A"/>
          <w:sz w:val="31"/>
        </w:rPr>
        <w:t>RESPUESTA A PROPUESTA DE COMPRA Y CONTRAOFERTA</w:t>
      </w:r>
    </w:p>
    <w:p>
      <w:pPr>
        <w:keepNext w:val="0"/>
        <w:spacing w:before="0" w:after="0" w:line="254" w:lineRule="auto"/>
        <w:jc w:val="left"/>
      </w:pPr>
      <w:r>
        <w:rPr>
          <w:rFonts w:ascii="Fraunces" w:hAnsi="Fraunces" w:eastAsia="Fraunces"/>
          <w:b w:val="0"/>
          <w:i w:val="0"/>
          <w:color w:val="A87D22"/>
          <w:sz w:val="23"/>
        </w:rPr>
        <w:t>Edificio Inox — República Argentina esquina Tobatí, Asunción</w:t>
      </w:r>
    </w:p>
    <w:p>
      <w:pPr>
        <w:keepNext w:val="0"/>
        <w:spacing w:before="40" w:after="100" w:line="254" w:lineRule="auto"/>
        <w:jc w:val="both"/>
        <w:pBdr>
          <w:bottom w:val="single" w:sz="6" w:color="C9982E"/>
        </w:pBdr>
      </w:pPr>
    </w:p>
    <w:tbl>
      <w:tblPr>
        <w:tblW w:type="dxa" w:w="9639"/>
        <w:tblLook w:firstColumn="1" w:firstRow="1" w:lastColumn="0" w:lastRow="0" w:noHBand="0" w:noVBand="1" w:val="04A0"/>
        <w:jc w:val="center"/>
        <w:tblBorders>
          <w:top w:val="single" w:sz="4" w:color="DAD2C0"/>
          <w:left w:val="single" w:sz="4" w:color="DAD2C0"/>
          <w:bottom w:val="single" w:sz="4" w:color="DAD2C0"/>
          <w:right w:val="single" w:sz="4" w:color="DAD2C0"/>
          <w:insideH w:val="single" w:sz="4" w:color="DAD2C0"/>
          <w:insideV w:val="single" w:sz="4" w:color="DAD2C0"/>
        </w:tblBorders>
        <w:tblLayout w:type="fixed"/>
        <w:tblCellMar>
          <w:top w:w="28" w:type="dxa"/>
          <w:bottom w:w="28" w:type="dxa"/>
          <w:left w:w="110" w:type="dxa"/>
          <w:right w:w="110" w:type="dxa"/>
        </w:tblCellMar>
        <w:tblLayout w:type="fixed"/>
      </w:tblPr>
      <w:tblGrid>
        <w:gridCol w:w="2381"/>
        <w:gridCol w:w="7257"/>
      </w:tblGrid>
      <w:tr>
        <w:trPr>
          <w:cantSplit/>
        </w:trPr>
        <w:tc>
          <w:tcPr>
            <w:tcW w:type="dxa" w:w="2381"/>
            <w:shd w:val="clear" w:color="auto" w:fill="F3EDE3"/>
            <w:vAlign w:val="center"/>
          </w:tcPr>
          <w:p>
            <w:pPr>
              <w:spacing w:after="0"/>
              <w:jc w:val="left"/>
            </w:pPr>
            <w:r>
              <w:rPr>
                <w:rFonts w:ascii="Poppins" w:hAnsi="Poppins" w:eastAsia="Poppins"/>
                <w:b/>
                <w:i w:val="0"/>
                <w:color w:val="14313A"/>
                <w:sz w:val="15"/>
              </w:rPr>
              <w:t>COMPRADOR Y OFERENTE</w:t>
            </w:r>
          </w:p>
        </w:tc>
        <w:tc>
          <w:tcPr>
            <w:tcW w:type="dxa" w:w="7257"/>
            <w:vAlign w:val="center"/>
          </w:tcPr>
          <w:p>
            <w:pPr>
              <w:spacing w:after="0"/>
              <w:jc w:val="left"/>
            </w:pPr>
            <w:r>
              <w:rPr>
                <w:rFonts w:ascii="Poppins" w:hAnsi="Poppins" w:eastAsia="Poppins"/>
                <w:b w:val="0"/>
                <w:i w:val="0"/>
                <w:color w:val="2A2620"/>
                <w:sz w:val="17"/>
              </w:rPr>
              <w:t>Matías Manzato — C.I. N.º 9489984</w:t>
            </w:r>
          </w:p>
        </w:tc>
      </w:tr>
      <w:tr>
        <w:trPr>
          <w:cantSplit/>
        </w:trPr>
        <w:tc>
          <w:tcPr>
            <w:tcW w:type="dxa" w:w="2381"/>
            <w:shd w:val="clear" w:color="auto" w:fill="F3EDE3"/>
            <w:vAlign w:val="center"/>
          </w:tcPr>
          <w:p>
            <w:pPr>
              <w:spacing w:after="0"/>
              <w:jc w:val="left"/>
            </w:pPr>
            <w:r>
              <w:rPr>
                <w:rFonts w:ascii="Poppins" w:hAnsi="Poppins" w:eastAsia="Poppins"/>
                <w:b/>
                <w:i w:val="0"/>
                <w:color w:val="14313A"/>
                <w:sz w:val="15"/>
              </w:rPr>
              <w:t>PARTE VENDEDORA</w:t>
            </w:r>
          </w:p>
        </w:tc>
        <w:tc>
          <w:tcPr>
            <w:tcW w:type="dxa" w:w="7257"/>
            <w:vAlign w:val="center"/>
          </w:tcPr>
          <w:p>
            <w:pPr>
              <w:spacing w:after="0"/>
              <w:jc w:val="left"/>
            </w:pPr>
            <w:r>
              <w:rPr>
                <w:rFonts w:ascii="Poppins" w:hAnsi="Poppins" w:eastAsia="Poppins"/>
                <w:b w:val="0"/>
                <w:i w:val="0"/>
                <w:color w:val="2A2620"/>
                <w:sz w:val="17"/>
              </w:rPr>
              <w:t>M.T. BAT Sociedad Anónima — representante: Sra. Mabel Torrico</w:t>
            </w:r>
          </w:p>
        </w:tc>
      </w:tr>
      <w:tr>
        <w:trPr>
          <w:cantSplit/>
        </w:trPr>
        <w:tc>
          <w:tcPr>
            <w:tcW w:type="dxa" w:w="2381"/>
            <w:shd w:val="clear" w:color="auto" w:fill="F3EDE3"/>
            <w:vAlign w:val="center"/>
          </w:tcPr>
          <w:p>
            <w:pPr>
              <w:spacing w:after="0"/>
              <w:jc w:val="left"/>
            </w:pPr>
            <w:r>
              <w:rPr>
                <w:rFonts w:ascii="Poppins" w:hAnsi="Poppins" w:eastAsia="Poppins"/>
                <w:b/>
                <w:i w:val="0"/>
                <w:color w:val="14313A"/>
                <w:sz w:val="15"/>
              </w:rPr>
              <w:t>INMUEBLE</w:t>
            </w:r>
          </w:p>
        </w:tc>
        <w:tc>
          <w:tcPr>
            <w:tcW w:type="dxa" w:w="7257"/>
            <w:vAlign w:val="center"/>
          </w:tcPr>
          <w:p>
            <w:pPr>
              <w:spacing w:after="0"/>
              <w:jc w:val="left"/>
            </w:pPr>
            <w:r>
              <w:rPr>
                <w:rFonts w:ascii="Poppins" w:hAnsi="Poppins" w:eastAsia="Poppins"/>
                <w:b w:val="0"/>
                <w:i w:val="0"/>
                <w:color w:val="2A2620"/>
                <w:sz w:val="17"/>
              </w:rPr>
              <w:t>Edificio Inox, edificio mixto de departamentos y locales comerciales — Avda. República Argentina esquina Tobatí, Asunción — Cta. Cte. Catastral N.º 14-0322-17</w:t>
            </w:r>
          </w:p>
        </w:tc>
      </w:tr>
      <w:tr>
        <w:trPr>
          <w:cantSplit/>
        </w:trPr>
        <w:tc>
          <w:tcPr>
            <w:tcW w:type="dxa" w:w="2381"/>
            <w:shd w:val="clear" w:color="auto" w:fill="F3EDE3"/>
            <w:vAlign w:val="center"/>
          </w:tcPr>
          <w:p>
            <w:pPr>
              <w:spacing w:after="0"/>
              <w:jc w:val="left"/>
            </w:pPr>
            <w:r>
              <w:rPr>
                <w:rFonts w:ascii="Poppins" w:hAnsi="Poppins" w:eastAsia="Poppins"/>
                <w:b/>
                <w:i w:val="0"/>
                <w:color w:val="14313A"/>
                <w:sz w:val="15"/>
              </w:rPr>
              <w:t>INMOBILIARIA COLOCADORA</w:t>
            </w:r>
          </w:p>
        </w:tc>
        <w:tc>
          <w:tcPr>
            <w:tcW w:type="dxa" w:w="7257"/>
            <w:vAlign w:val="center"/>
          </w:tcPr>
          <w:p>
            <w:pPr>
              <w:spacing w:after="0"/>
              <w:jc w:val="left"/>
            </w:pPr>
            <w:r>
              <w:rPr>
                <w:rFonts w:ascii="Poppins" w:hAnsi="Poppins" w:eastAsia="Poppins"/>
                <w:b w:val="0"/>
                <w:i w:val="0"/>
                <w:color w:val="2A2620"/>
                <w:sz w:val="17"/>
              </w:rPr>
              <w:t>Meridiano Capital, a través de su broker inmobiliario Juan José Castillo</w:t>
            </w:r>
          </w:p>
        </w:tc>
      </w:tr>
    </w:tbl>
    <w:p>
      <w:pPr>
        <w:keepNext w:val="0"/>
        <w:spacing w:before="140" w:after="0" w:line="254" w:lineRule="auto"/>
        <w:jc w:val="left"/>
      </w:pPr>
      <w:r>
        <w:rPr>
          <w:rFonts w:ascii="Poppins" w:hAnsi="Poppins" w:eastAsia="Poppins"/>
          <w:b w:val="0"/>
          <w:i w:val="0"/>
          <w:color w:val="2A2620"/>
          <w:sz w:val="19"/>
        </w:rPr>
        <w:t xml:space="preserve">Señor </w:t>
      </w:r>
      <w:r>
        <w:rPr>
          <w:rFonts w:ascii="Poppins" w:hAnsi="Poppins" w:eastAsia="Poppins"/>
          <w:b/>
          <w:i w:val="0"/>
          <w:color w:val="14313A"/>
          <w:sz w:val="19"/>
        </w:rPr>
        <w:t>Matías Manzato</w:t>
      </w:r>
      <w:r>
        <w:rPr>
          <w:rFonts w:ascii="Poppins" w:hAnsi="Poppins" w:eastAsia="Poppins"/>
          <w:b w:val="0"/>
          <w:i w:val="0"/>
          <w:color w:val="2A2620"/>
          <w:sz w:val="19"/>
        </w:rPr>
        <w:t xml:space="preserve"> — C.I. N.º 9489984</w:t>
      </w:r>
    </w:p>
    <w:p>
      <w:pPr>
        <w:keepNext w:val="0"/>
        <w:spacing w:before="0" w:after="0" w:line="254" w:lineRule="auto"/>
        <w:jc w:val="left"/>
      </w:pPr>
      <w:r>
        <w:rPr>
          <w:rFonts w:ascii="Poppins" w:hAnsi="Poppins" w:eastAsia="Poppins"/>
          <w:b w:val="0"/>
          <w:i w:val="0"/>
          <w:color w:val="2A2620"/>
          <w:sz w:val="18"/>
        </w:rPr>
        <w:t>Presente</w:t>
      </w:r>
    </w:p>
    <w:p>
      <w:pPr>
        <w:keepNext w:val="0"/>
        <w:spacing w:before="140" w:after="80" w:line="254" w:lineRule="auto"/>
        <w:jc w:val="left"/>
      </w:pPr>
      <w:r>
        <w:rPr>
          <w:rFonts w:ascii="Poppins" w:hAnsi="Poppins" w:eastAsia="Poppins"/>
          <w:b w:val="0"/>
          <w:i w:val="0"/>
          <w:color w:val="2A2620"/>
          <w:sz w:val="18"/>
        </w:rPr>
        <w:t>Señor Matías Manzato:</w:t>
      </w:r>
    </w:p>
    <w:p>
      <w:pPr>
        <w:keepNext w:val="0"/>
        <w:spacing w:before="0" w:after="100" w:line="254" w:lineRule="auto"/>
        <w:jc w:val="both"/>
      </w:pPr>
      <w:r>
        <w:rPr>
          <w:rFonts w:ascii="Poppins" w:hAnsi="Poppins" w:eastAsia="Poppins"/>
          <w:b w:val="0"/>
          <w:i w:val="0"/>
          <w:color w:val="2A2620"/>
          <w:sz w:val="18"/>
        </w:rPr>
        <w:t>En relación con su propuesta formal de compra de fecha 16 de octubre de 2026, por USD 700.000, correspondiente al Edificio Inox, ubicado en Avda. República Argentina esquina Tobatí de Asunción, identificado con Cuenta Corriente Catastral N.º 14-0322-17, propiedad de M.T. BAT Sociedad Anónima, cuya representante identificada es la señora Mabel Torrico, Meridiano Capital, a través de su broker inmobiliario Juan José Castillo, en su carácter de inmobiliaria colocadora, canaliza la respuesta comunicada por la parte vendedora.</w:t>
      </w:r>
    </w:p>
    <w:p>
      <w:pPr>
        <w:keepNext w:val="0"/>
        <w:spacing w:before="0" w:after="100" w:line="254" w:lineRule="auto"/>
        <w:jc w:val="both"/>
      </w:pPr>
      <w:r>
        <w:rPr>
          <w:rFonts w:ascii="Poppins" w:hAnsi="Poppins" w:eastAsia="Poppins"/>
          <w:b w:val="0"/>
          <w:i w:val="0"/>
          <w:color w:val="2A2620"/>
          <w:sz w:val="18"/>
        </w:rPr>
        <w:t>Su presentación como interesado consta en la carta de presentación de cliente y reconocimiento de comisión por intermediación dirigida a la parte vendedora, en la que se deja constancia de la intermediación de ambos asesores inmobiliarios intervinientes: la señora Lourdes Baratto y Meridiano Capital, a través de su broker inmobiliario Juan José Castillo.</w:t>
      </w:r>
    </w:p>
    <w:p>
      <w:pPr>
        <w:keepNext w:val="0"/>
        <w:spacing w:before="0" w:after="120" w:line="254" w:lineRule="auto"/>
        <w:jc w:val="both"/>
      </w:pPr>
      <w:r>
        <w:rPr>
          <w:rFonts w:ascii="Poppins" w:hAnsi="Poppins" w:eastAsia="Poppins"/>
          <w:b w:val="0"/>
          <w:i w:val="0"/>
          <w:color w:val="2A2620"/>
          <w:sz w:val="18"/>
        </w:rPr>
        <w:t>En consideración de los presupuestos y las necesidades de remodelación planteadas por la parte compradora para la regularización de planos y los arreglos básicos del edificio, la parte vendedora acepta reducir el precio de venta a USD 820.000 (ochocientos veinte mil dólares estadounidenses), conforme a las condiciones que se detallan a continuación. La reducción no implica que la parte vendedora asuma la ejecución ni el costo de dichas reformas o regularizaciones.</w:t>
      </w:r>
    </w:p>
    <w:p>
      <w:pPr>
        <w:keepNext/>
        <w:spacing w:before="0" w:after="80" w:line="254" w:lineRule="auto"/>
        <w:jc w:val="both"/>
      </w:pPr>
      <w:r>
        <w:rPr>
          <w:rFonts w:ascii="Poppins" w:hAnsi="Poppins" w:eastAsia="Poppins"/>
          <w:b/>
          <w:i w:val="0"/>
          <w:color w:val="A87D22"/>
          <w:sz w:val="19"/>
        </w:rPr>
        <w:t xml:space="preserve">1.  </w:t>
      </w:r>
      <w:r>
        <w:rPr>
          <w:rFonts w:ascii="Poppins" w:hAnsi="Poppins" w:eastAsia="Poppins"/>
          <w:b/>
          <w:i w:val="0"/>
          <w:color w:val="14313A"/>
          <w:sz w:val="19"/>
        </w:rPr>
        <w:t>Precio y forma de pago</w:t>
      </w:r>
    </w:p>
    <w:tbl>
      <w:tblPr>
        <w:tblW w:type="dxa" w:w="9639"/>
        <w:tblLook w:firstColumn="1" w:firstRow="1" w:lastColumn="0" w:lastRow="0" w:noHBand="0" w:noVBand="1" w:val="04A0"/>
        <w:jc w:val="center"/>
        <w:tblBorders>
          <w:top w:val="single" w:sz="4" w:color="DAD2C0"/>
          <w:left w:val="single" w:sz="4" w:color="DAD2C0"/>
          <w:bottom w:val="single" w:sz="4" w:color="DAD2C0"/>
          <w:right w:val="single" w:sz="4" w:color="DAD2C0"/>
          <w:insideH w:val="single" w:sz="4" w:color="DAD2C0"/>
          <w:insideV w:val="single" w:sz="4" w:color="DAD2C0"/>
        </w:tblBorders>
        <w:tblLayout w:type="fixed"/>
        <w:tblCellMar>
          <w:top w:w="30" w:type="dxa"/>
          <w:bottom w:w="30" w:type="dxa"/>
          <w:left w:w="110" w:type="dxa"/>
          <w:right w:w="110" w:type="dxa"/>
        </w:tblCellMar>
        <w:tblLayout w:type="fixed"/>
      </w:tblPr>
      <w:tblGrid>
        <w:gridCol w:w="2608"/>
        <w:gridCol w:w="5216"/>
        <w:gridCol w:w="1814"/>
      </w:tblGrid>
      <w:tr>
        <w:trPr>
          <w:cantSplit/>
        </w:trPr>
        <w:tc>
          <w:tcPr>
            <w:tcW w:type="dxa" w:w="2608"/>
            <w:shd w:val="clear" w:color="auto" w:fill="14313A"/>
            <w:vAlign w:val="center"/>
          </w:tcPr>
          <w:p>
            <w:pPr>
              <w:keepNext/>
              <w:spacing w:after="0"/>
              <w:jc w:val="left"/>
            </w:pPr>
            <w:r>
              <w:rPr>
                <w:rFonts w:ascii="Poppins" w:hAnsi="Poppins" w:eastAsia="Poppins"/>
                <w:b/>
                <w:i w:val="0"/>
                <w:color w:val="FFFFFF"/>
                <w:sz w:val="15"/>
              </w:rPr>
              <w:t>CONCEPTO</w:t>
            </w:r>
          </w:p>
        </w:tc>
        <w:tc>
          <w:tcPr>
            <w:tcW w:type="dxa" w:w="5216"/>
            <w:shd w:val="clear" w:color="auto" w:fill="14313A"/>
            <w:vAlign w:val="center"/>
          </w:tcPr>
          <w:p>
            <w:pPr>
              <w:keepNext/>
              <w:spacing w:after="0"/>
              <w:jc w:val="left"/>
            </w:pPr>
            <w:r>
              <w:rPr>
                <w:rFonts w:ascii="Poppins" w:hAnsi="Poppins" w:eastAsia="Poppins"/>
                <w:b/>
                <w:i w:val="0"/>
                <w:color w:val="FFFFFF"/>
                <w:sz w:val="15"/>
              </w:rPr>
              <w:t>OPORTUNIDAD Y FORMA DE PAGO</w:t>
            </w:r>
          </w:p>
        </w:tc>
        <w:tc>
          <w:tcPr>
            <w:tcW w:type="dxa" w:w="1814"/>
            <w:shd w:val="clear" w:color="auto" w:fill="14313A"/>
            <w:vAlign w:val="center"/>
          </w:tcPr>
          <w:p>
            <w:pPr>
              <w:keepNext/>
              <w:spacing w:after="0"/>
              <w:jc w:val="right"/>
            </w:pPr>
            <w:r>
              <w:rPr>
                <w:rFonts w:ascii="Poppins" w:hAnsi="Poppins" w:eastAsia="Poppins"/>
                <w:b/>
                <w:i w:val="0"/>
                <w:color w:val="FFFFFF"/>
                <w:sz w:val="15"/>
              </w:rPr>
              <w:t>IMPORTE</w:t>
            </w:r>
          </w:p>
        </w:tc>
      </w:tr>
      <w:tr>
        <w:trPr>
          <w:cantSplit/>
        </w:trPr>
        <w:tc>
          <w:tcPr>
            <w:tcW w:type="dxa" w:w="2608"/>
            <w:vAlign w:val="center"/>
          </w:tcPr>
          <w:p>
            <w:pPr>
              <w:keepNext/>
              <w:spacing w:after="0"/>
              <w:jc w:val="left"/>
            </w:pPr>
            <w:r>
              <w:rPr>
                <w:rFonts w:ascii="Poppins" w:hAnsi="Poppins" w:eastAsia="Poppins"/>
                <w:b/>
                <w:i w:val="0"/>
                <w:color w:val="14313A"/>
                <w:sz w:val="18"/>
              </w:rPr>
              <w:t>Reserva</w:t>
            </w:r>
          </w:p>
          <w:p>
            <w:pPr>
              <w:keepNext/>
              <w:spacing w:after="0"/>
            </w:pPr>
            <w:r>
              <w:rPr>
                <w:rFonts w:ascii="Poppins" w:hAnsi="Poppins" w:eastAsia="Poppins"/>
                <w:b w:val="0"/>
                <w:i/>
                <w:color w:val="6B6154"/>
                <w:sz w:val="15"/>
              </w:rPr>
              <w:t>Ochenta y dos mil dólares estadounidenses</w:t>
            </w:r>
          </w:p>
        </w:tc>
        <w:tc>
          <w:tcPr>
            <w:tcW w:type="dxa" w:w="5216"/>
            <w:vAlign w:val="center"/>
          </w:tcPr>
          <w:p>
            <w:pPr>
              <w:keepNext/>
              <w:spacing w:after="0"/>
              <w:jc w:val="left"/>
            </w:pPr>
            <w:r>
              <w:rPr>
                <w:rFonts w:ascii="Poppins" w:hAnsi="Poppins" w:eastAsia="Poppins"/>
                <w:b w:val="0"/>
                <w:i w:val="0"/>
                <w:color w:val="2A2620"/>
                <w:sz w:val="17"/>
              </w:rPr>
              <w:t>Una vez aceptada la presente propuesta, mediante transferencia bancaria a la cuenta que indique la parte vendedora</w:t>
            </w:r>
          </w:p>
        </w:tc>
        <w:tc>
          <w:tcPr>
            <w:tcW w:type="dxa" w:w="1814"/>
            <w:vAlign w:val="center"/>
          </w:tcPr>
          <w:p>
            <w:pPr>
              <w:keepNext/>
              <w:spacing w:after="0"/>
              <w:jc w:val="right"/>
            </w:pPr>
            <w:r>
              <w:rPr>
                <w:rFonts w:ascii="Poppins" w:hAnsi="Poppins" w:eastAsia="Poppins"/>
                <w:b/>
                <w:i w:val="0"/>
                <w:color w:val="14313A"/>
                <w:sz w:val="19"/>
              </w:rPr>
              <w:t>USD 82.000</w:t>
            </w:r>
          </w:p>
        </w:tc>
      </w:tr>
      <w:tr>
        <w:trPr>
          <w:cantSplit/>
        </w:trPr>
        <w:tc>
          <w:tcPr>
            <w:tcW w:type="dxa" w:w="2608"/>
            <w:shd w:val="clear" w:color="auto" w:fill="F7F4EE"/>
            <w:vAlign w:val="center"/>
          </w:tcPr>
          <w:p>
            <w:pPr>
              <w:keepNext/>
              <w:spacing w:after="0"/>
              <w:jc w:val="left"/>
            </w:pPr>
            <w:r>
              <w:rPr>
                <w:rFonts w:ascii="Poppins" w:hAnsi="Poppins" w:eastAsia="Poppins"/>
                <w:b/>
                <w:i w:val="0"/>
                <w:color w:val="14313A"/>
                <w:sz w:val="18"/>
              </w:rPr>
              <w:t>Seña de trato</w:t>
            </w:r>
          </w:p>
          <w:p>
            <w:pPr>
              <w:keepNext/>
              <w:spacing w:after="0"/>
            </w:pPr>
            <w:r>
              <w:rPr>
                <w:rFonts w:ascii="Poppins" w:hAnsi="Poppins" w:eastAsia="Poppins"/>
                <w:b w:val="0"/>
                <w:i/>
                <w:color w:val="6B6154"/>
                <w:sz w:val="15"/>
              </w:rPr>
              <w:t>Ciento sesenta y ocho mil dólares estadounidenses</w:t>
            </w:r>
          </w:p>
        </w:tc>
        <w:tc>
          <w:tcPr>
            <w:tcW w:type="dxa" w:w="5216"/>
            <w:shd w:val="clear" w:color="auto" w:fill="F7F4EE"/>
            <w:vAlign w:val="center"/>
          </w:tcPr>
          <w:p>
            <w:pPr>
              <w:keepNext/>
              <w:spacing w:after="0"/>
              <w:jc w:val="left"/>
            </w:pPr>
            <w:r>
              <w:rPr>
                <w:rFonts w:ascii="Poppins" w:hAnsi="Poppins" w:eastAsia="Poppins"/>
                <w:b w:val="0"/>
                <w:i w:val="0"/>
                <w:color w:val="2A2620"/>
                <w:sz w:val="17"/>
              </w:rPr>
              <w:t>A la firma del contrato privado de compraventa en escribanía, en un lapso no mayor a 30 días corridos desde la reserva, mediante transferencia bancaria</w:t>
            </w:r>
          </w:p>
        </w:tc>
        <w:tc>
          <w:tcPr>
            <w:tcW w:type="dxa" w:w="1814"/>
            <w:shd w:val="clear" w:color="auto" w:fill="F7F4EE"/>
            <w:vAlign w:val="center"/>
          </w:tcPr>
          <w:p>
            <w:pPr>
              <w:keepNext/>
              <w:spacing w:after="0"/>
              <w:jc w:val="right"/>
            </w:pPr>
            <w:r>
              <w:rPr>
                <w:rFonts w:ascii="Poppins" w:hAnsi="Poppins" w:eastAsia="Poppins"/>
                <w:b/>
                <w:i w:val="0"/>
                <w:color w:val="14313A"/>
                <w:sz w:val="19"/>
              </w:rPr>
              <w:t>USD 168.000</w:t>
            </w:r>
          </w:p>
        </w:tc>
      </w:tr>
      <w:tr>
        <w:trPr>
          <w:cantSplit/>
        </w:trPr>
        <w:tc>
          <w:tcPr>
            <w:tcW w:type="dxa" w:w="2608"/>
            <w:vAlign w:val="center"/>
          </w:tcPr>
          <w:p>
            <w:pPr>
              <w:keepNext/>
              <w:spacing w:after="0"/>
              <w:jc w:val="left"/>
            </w:pPr>
            <w:r>
              <w:rPr>
                <w:rFonts w:ascii="Poppins" w:hAnsi="Poppins" w:eastAsia="Poppins"/>
                <w:b/>
                <w:i w:val="0"/>
                <w:color w:val="14313A"/>
                <w:sz w:val="18"/>
              </w:rPr>
              <w:t>Saldo de la operación</w:t>
            </w:r>
          </w:p>
          <w:p>
            <w:pPr>
              <w:keepNext/>
              <w:spacing w:after="0"/>
            </w:pPr>
            <w:r>
              <w:rPr>
                <w:rFonts w:ascii="Poppins" w:hAnsi="Poppins" w:eastAsia="Poppins"/>
                <w:b w:val="0"/>
                <w:i/>
                <w:color w:val="6B6154"/>
                <w:sz w:val="15"/>
              </w:rPr>
              <w:t>Quinientos setenta mil dólares estadounidenses</w:t>
            </w:r>
          </w:p>
        </w:tc>
        <w:tc>
          <w:tcPr>
            <w:tcW w:type="dxa" w:w="5216"/>
            <w:vAlign w:val="center"/>
          </w:tcPr>
          <w:p>
            <w:pPr>
              <w:keepNext/>
              <w:spacing w:after="0"/>
              <w:jc w:val="left"/>
            </w:pPr>
            <w:r>
              <w:rPr>
                <w:rFonts w:ascii="Poppins" w:hAnsi="Poppins" w:eastAsia="Poppins"/>
                <w:b w:val="0"/>
                <w:i w:val="0"/>
                <w:color w:val="2A2620"/>
                <w:sz w:val="17"/>
              </w:rPr>
              <w:t>A la firma de la escritura traslativa de dominio en escribanía, en un lapso de 180 días hábiles a partir de la seña de trato, mediante transferencia bancaria</w:t>
            </w:r>
          </w:p>
        </w:tc>
        <w:tc>
          <w:tcPr>
            <w:tcW w:type="dxa" w:w="1814"/>
            <w:vAlign w:val="center"/>
          </w:tcPr>
          <w:p>
            <w:pPr>
              <w:keepNext/>
              <w:spacing w:after="0"/>
              <w:jc w:val="right"/>
            </w:pPr>
            <w:r>
              <w:rPr>
                <w:rFonts w:ascii="Poppins" w:hAnsi="Poppins" w:eastAsia="Poppins"/>
                <w:b/>
                <w:i w:val="0"/>
                <w:color w:val="14313A"/>
                <w:sz w:val="19"/>
              </w:rPr>
              <w:t>USD 570.000</w:t>
            </w:r>
          </w:p>
        </w:tc>
      </w:tr>
      <w:tr>
        <w:trPr>
          <w:cantSplit/>
        </w:trPr>
        <w:tc>
          <w:tcPr>
            <w:tcW w:type="dxa" w:w="2608"/>
            <w:shd w:val="clear" w:color="auto" w:fill="F3EDE3"/>
            <w:vAlign w:val="center"/>
          </w:tcPr>
          <w:p>
            <w:pPr>
              <w:spacing w:after="0"/>
              <w:jc w:val="left"/>
            </w:pPr>
            <w:r>
              <w:rPr>
                <w:rFonts w:ascii="Poppins" w:hAnsi="Poppins" w:eastAsia="Poppins"/>
                <w:b/>
                <w:i w:val="0"/>
                <w:color w:val="14313A"/>
                <w:sz w:val="16"/>
              </w:rPr>
              <w:t>PRECIO TOTAL DE VENTA</w:t>
            </w:r>
          </w:p>
        </w:tc>
        <w:tc>
          <w:tcPr>
            <w:tcW w:type="dxa" w:w="5216"/>
            <w:shd w:val="clear" w:color="auto" w:fill="F3EDE3"/>
            <w:vAlign w:val="center"/>
          </w:tcPr>
          <w:p>
            <w:pPr>
              <w:spacing w:after="0"/>
              <w:jc w:val="left"/>
            </w:pPr>
            <w:r>
              <w:rPr>
                <w:rFonts w:ascii="Poppins" w:hAnsi="Poppins" w:eastAsia="Poppins"/>
                <w:b w:val="0"/>
                <w:i/>
                <w:color w:val="6B6154"/>
                <w:sz w:val="17"/>
              </w:rPr>
              <w:t>Ochocientos veinte mil dólares estadounidenses</w:t>
            </w:r>
          </w:p>
        </w:tc>
        <w:tc>
          <w:tcPr>
            <w:tcW w:type="dxa" w:w="1814"/>
            <w:shd w:val="clear" w:color="auto" w:fill="F3EDE3"/>
            <w:vAlign w:val="center"/>
          </w:tcPr>
          <w:p>
            <w:pPr>
              <w:spacing w:after="0"/>
              <w:jc w:val="right"/>
            </w:pPr>
            <w:r>
              <w:rPr>
                <w:rFonts w:ascii="Poppins" w:hAnsi="Poppins" w:eastAsia="Poppins"/>
                <w:b/>
                <w:i w:val="0"/>
                <w:color w:val="14313A"/>
                <w:sz w:val="21"/>
              </w:rPr>
              <w:t>USD 820.000</w:t>
            </w:r>
          </w:p>
        </w:tc>
      </w:tr>
    </w:tbl>
    <w:p>
      <w:pPr>
        <w:keepNext w:val="0"/>
        <w:spacing w:before="80" w:after="120" w:line="254" w:lineRule="auto"/>
        <w:jc w:val="both"/>
      </w:pPr>
      <w:r>
        <w:rPr>
          <w:rFonts w:ascii="Poppins" w:hAnsi="Poppins" w:eastAsia="Poppins"/>
          <w:b w:val="0"/>
          <w:i w:val="0"/>
          <w:color w:val="2A2620"/>
          <w:sz w:val="18"/>
        </w:rPr>
        <w:t>La reserva y la seña de trato se imputan íntegramente al precio. El saldo de USD 570.000 sustituye al saldo de USD 450.000 previsto en su propuesta.</w:t>
      </w:r>
    </w:p>
    <w:p>
      <w:pPr>
        <w:keepNext/>
        <w:spacing w:before="0" w:after="80" w:line="254" w:lineRule="auto"/>
        <w:jc w:val="both"/>
      </w:pPr>
      <w:r>
        <w:rPr>
          <w:rFonts w:ascii="Poppins" w:hAnsi="Poppins" w:eastAsia="Poppins"/>
          <w:b/>
          <w:i w:val="0"/>
          <w:color w:val="14313A"/>
          <w:sz w:val="19"/>
        </w:rPr>
        <w:t>Condiciones de la operación</w:t>
      </w:r>
    </w:p>
    <w:p>
      <w:pPr>
        <w:keepNext w:val="0"/>
        <w:tabs>
          <w:tab w:pos="425" w:val="left"/>
        </w:tabs>
        <w:spacing w:before="0" w:after="60" w:line="254" w:lineRule="auto"/>
        <w:ind w:left="425" w:hanging="425"/>
        <w:jc w:val="both"/>
      </w:pPr>
      <w:r>
        <w:rPr>
          <w:rFonts w:ascii="Poppins" w:hAnsi="Poppins" w:eastAsia="Poppins"/>
          <w:b/>
          <w:i w:val="0"/>
          <w:color w:val="A87D22"/>
          <w:sz w:val="18"/>
        </w:rPr>
        <w:t>2.</w:t>
        <w:tab/>
      </w:r>
      <w:r>
        <w:rPr>
          <w:rFonts w:ascii="Poppins" w:hAnsi="Poppins" w:eastAsia="Poppins"/>
          <w:b/>
          <w:i w:val="0"/>
          <w:color w:val="14313A"/>
          <w:sz w:val="18"/>
        </w:rPr>
        <w:t xml:space="preserve">Comisión inmobiliaria. </w:t>
      </w:r>
      <w:r>
        <w:rPr>
          <w:rFonts w:ascii="Poppins" w:hAnsi="Poppins" w:eastAsia="Poppins"/>
          <w:b w:val="0"/>
          <w:i w:val="0"/>
          <w:color w:val="2A2620"/>
          <w:sz w:val="18"/>
        </w:rPr>
        <w:t>La comisión inmobiliaria del 5,5 % (cinco coma cinco por ciento) será abonada en un 100 % por la parte vendedora.</w:t>
      </w:r>
    </w:p>
    <w:p>
      <w:pPr>
        <w:keepNext w:val="0"/>
        <w:tabs>
          <w:tab w:pos="425" w:val="left"/>
        </w:tabs>
        <w:spacing w:before="0" w:after="60" w:line="254" w:lineRule="auto"/>
        <w:ind w:left="425" w:hanging="425"/>
        <w:jc w:val="both"/>
      </w:pPr>
      <w:r>
        <w:rPr>
          <w:rFonts w:ascii="Poppins" w:hAnsi="Poppins" w:eastAsia="Poppins"/>
          <w:b/>
          <w:i w:val="0"/>
          <w:color w:val="A87D22"/>
          <w:sz w:val="18"/>
        </w:rPr>
        <w:t>3.</w:t>
        <w:tab/>
      </w:r>
      <w:r>
        <w:rPr>
          <w:rFonts w:ascii="Poppins" w:hAnsi="Poppins" w:eastAsia="Poppins"/>
          <w:b/>
          <w:i w:val="0"/>
          <w:color w:val="14313A"/>
          <w:sz w:val="18"/>
        </w:rPr>
        <w:t xml:space="preserve">Gastos de transferencia. </w:t>
      </w:r>
      <w:r>
        <w:rPr>
          <w:rFonts w:ascii="Poppins" w:hAnsi="Poppins" w:eastAsia="Poppins"/>
          <w:b w:val="0"/>
          <w:i w:val="0"/>
          <w:color w:val="2A2620"/>
          <w:sz w:val="18"/>
        </w:rPr>
        <w:t>Los gastos de transferencia serán pagados en un 50 % por la parte compradora y en un 50 % por la parte vendedora. Este reparto es independiente de los impuestos indicados en los puntos siguientes.</w:t>
      </w:r>
    </w:p>
    <w:p>
      <w:pPr>
        <w:keepNext w:val="0"/>
        <w:tabs>
          <w:tab w:pos="425" w:val="left"/>
        </w:tabs>
        <w:spacing w:before="0" w:after="60" w:line="254" w:lineRule="auto"/>
        <w:ind w:left="425" w:hanging="425"/>
        <w:jc w:val="both"/>
      </w:pPr>
      <w:r>
        <w:rPr>
          <w:rFonts w:ascii="Poppins" w:hAnsi="Poppins" w:eastAsia="Poppins"/>
          <w:b/>
          <w:i w:val="0"/>
          <w:color w:val="A87D22"/>
          <w:sz w:val="18"/>
        </w:rPr>
        <w:t>4.</w:t>
        <w:tab/>
      </w:r>
      <w:r>
        <w:rPr>
          <w:rFonts w:ascii="Poppins" w:hAnsi="Poppins" w:eastAsia="Poppins"/>
          <w:b/>
          <w:i w:val="0"/>
          <w:color w:val="14313A"/>
          <w:sz w:val="18"/>
        </w:rPr>
        <w:t xml:space="preserve">IVA. </w:t>
      </w:r>
      <w:r>
        <w:rPr>
          <w:rFonts w:ascii="Poppins" w:hAnsi="Poppins" w:eastAsia="Poppins"/>
          <w:b w:val="0"/>
          <w:i w:val="0"/>
          <w:color w:val="2A2620"/>
          <w:sz w:val="18"/>
        </w:rPr>
        <w:t>El IVA correspondiente a la venta del inmueble, a la tasa del 5 % aplicable a la enajenación de inmuebles, será pagado por la parte vendedora, como lo establece la ley. No se adiciona al precio de USD 820.000.</w:t>
      </w:r>
    </w:p>
    <w:p>
      <w:pPr>
        <w:keepNext w:val="0"/>
        <w:tabs>
          <w:tab w:pos="425" w:val="left"/>
        </w:tabs>
        <w:spacing w:before="0" w:after="60" w:line="254" w:lineRule="auto"/>
        <w:ind w:left="425" w:hanging="425"/>
        <w:jc w:val="both"/>
      </w:pPr>
      <w:r>
        <w:rPr>
          <w:rFonts w:ascii="Poppins" w:hAnsi="Poppins" w:eastAsia="Poppins"/>
          <w:b/>
          <w:i w:val="0"/>
          <w:color w:val="A87D22"/>
          <w:sz w:val="18"/>
        </w:rPr>
        <w:t>5.</w:t>
        <w:tab/>
      </w:r>
      <w:r>
        <w:rPr>
          <w:rFonts w:ascii="Poppins" w:hAnsi="Poppins" w:eastAsia="Poppins"/>
          <w:b/>
          <w:i w:val="0"/>
          <w:color w:val="14313A"/>
          <w:sz w:val="18"/>
        </w:rPr>
        <w:t xml:space="preserve">Impuestos inmobiliarios. </w:t>
      </w:r>
      <w:r>
        <w:rPr>
          <w:rFonts w:ascii="Poppins" w:hAnsi="Poppins" w:eastAsia="Poppins"/>
          <w:b w:val="0"/>
          <w:i w:val="0"/>
          <w:color w:val="2A2620"/>
          <w:sz w:val="18"/>
        </w:rPr>
        <w:t>Los impuestos inmobiliarios deben estar al día, a cargo de la parte vendedora, como lo establece la ley.</w:t>
      </w:r>
    </w:p>
    <w:p>
      <w:pPr>
        <w:keepNext w:val="0"/>
        <w:tabs>
          <w:tab w:pos="425" w:val="left"/>
        </w:tabs>
        <w:spacing w:before="0" w:after="60" w:line="254" w:lineRule="auto"/>
        <w:ind w:left="425" w:hanging="425"/>
        <w:jc w:val="both"/>
      </w:pPr>
      <w:r>
        <w:rPr>
          <w:rFonts w:ascii="Poppins" w:hAnsi="Poppins" w:eastAsia="Poppins"/>
          <w:b/>
          <w:i w:val="0"/>
          <w:color w:val="A87D22"/>
          <w:sz w:val="18"/>
        </w:rPr>
        <w:t>6.</w:t>
        <w:tab/>
      </w:r>
      <w:r>
        <w:rPr>
          <w:rFonts w:ascii="Poppins" w:hAnsi="Poppins" w:eastAsia="Poppins"/>
          <w:b/>
          <w:i w:val="0"/>
          <w:color w:val="14313A"/>
          <w:sz w:val="18"/>
        </w:rPr>
        <w:t xml:space="preserve">Aprobación bancaria. </w:t>
      </w:r>
      <w:r>
        <w:rPr>
          <w:rFonts w:ascii="Poppins" w:hAnsi="Poppins" w:eastAsia="Poppins"/>
          <w:b w:val="0"/>
          <w:i w:val="0"/>
          <w:color w:val="2A2620"/>
          <w:sz w:val="18"/>
        </w:rPr>
        <w:t>Toda la operación y las transferencias estarán sujetas a la aprobación del banco interviniente. La parte vendedora se compromete a facilitar y gestionar, de común acuerdo, toda la información y documentación necesaria que soliciten los bancos intervinientes en las transferencias.</w:t>
      </w:r>
    </w:p>
    <w:p>
      <w:pPr>
        <w:keepNext w:val="0"/>
        <w:tabs>
          <w:tab w:pos="425" w:val="left"/>
        </w:tabs>
        <w:spacing w:before="0" w:after="60" w:line="254" w:lineRule="auto"/>
        <w:ind w:left="425" w:hanging="425"/>
        <w:jc w:val="both"/>
      </w:pPr>
      <w:r>
        <w:rPr>
          <w:rFonts w:ascii="Poppins" w:hAnsi="Poppins" w:eastAsia="Poppins"/>
          <w:b/>
          <w:i w:val="0"/>
          <w:color w:val="A87D22"/>
          <w:sz w:val="18"/>
        </w:rPr>
        <w:t>7.</w:t>
        <w:tab/>
      </w:r>
      <w:r>
        <w:rPr>
          <w:rFonts w:ascii="Poppins" w:hAnsi="Poppins" w:eastAsia="Poppins"/>
          <w:b/>
          <w:i w:val="0"/>
          <w:color w:val="14313A"/>
          <w:sz w:val="18"/>
        </w:rPr>
        <w:t xml:space="preserve">Acompañamiento de transición. </w:t>
      </w:r>
      <w:r>
        <w:rPr>
          <w:rFonts w:ascii="Poppins" w:hAnsi="Poppins" w:eastAsia="Poppins"/>
          <w:b w:val="0"/>
          <w:i w:val="0"/>
          <w:color w:val="2A2620"/>
          <w:sz w:val="18"/>
        </w:rPr>
        <w:t>La parte vendedora se compromete a acompañar a la parte compradora durante seis (6) meses desde la compra, brindando toda la información y el conocimiento necesarios para el traspaso de la documentación y de la gestión de locación del edificio. Este acompañamiento tiene carácter informativo y de transición; no constituye garantía de renta, administración del edificio, cobranza ni responsabilidad por las decisiones futuras de la parte compradora.</w:t>
      </w:r>
    </w:p>
    <w:p>
      <w:pPr>
        <w:keepNext w:val="0"/>
        <w:tabs>
          <w:tab w:pos="425" w:val="left"/>
        </w:tabs>
        <w:spacing w:before="0" w:after="60" w:line="254" w:lineRule="auto"/>
        <w:ind w:left="425" w:hanging="425"/>
        <w:jc w:val="both"/>
      </w:pPr>
      <w:r>
        <w:rPr>
          <w:rFonts w:ascii="Poppins" w:hAnsi="Poppins" w:eastAsia="Poppins"/>
          <w:b/>
          <w:i w:val="0"/>
          <w:color w:val="A87D22"/>
          <w:sz w:val="18"/>
        </w:rPr>
        <w:t>8.</w:t>
        <w:tab/>
      </w:r>
      <w:r>
        <w:rPr>
          <w:rFonts w:ascii="Poppins" w:hAnsi="Poppins" w:eastAsia="Poppins"/>
          <w:b/>
          <w:i w:val="0"/>
          <w:color w:val="14313A"/>
          <w:sz w:val="18"/>
        </w:rPr>
        <w:t xml:space="preserve">Verificación documental. </w:t>
      </w:r>
      <w:r>
        <w:rPr>
          <w:rFonts w:ascii="Poppins" w:hAnsi="Poppins" w:eastAsia="Poppins"/>
          <w:b w:val="0"/>
          <w:i w:val="0"/>
          <w:color w:val="2A2620"/>
          <w:sz w:val="18"/>
        </w:rPr>
        <w:t>Conforme a su propuesta, la operación continúa sujeta a la verificación de la documentación de dominio del inmueble y de que este se encuentre libre de gravámenes, sin que la presente implique que dicha verificación ya se haya realizado.</w:t>
      </w:r>
    </w:p>
    <w:p>
      <w:pPr>
        <w:keepNext w:val="0"/>
        <w:tabs>
          <w:tab w:pos="425" w:val="left"/>
        </w:tabs>
        <w:spacing w:before="0" w:after="60" w:line="254" w:lineRule="auto"/>
        <w:ind w:left="425" w:hanging="425"/>
        <w:jc w:val="both"/>
      </w:pPr>
      <w:r>
        <w:rPr>
          <w:rFonts w:ascii="Poppins" w:hAnsi="Poppins" w:eastAsia="Poppins"/>
          <w:b/>
          <w:i w:val="0"/>
          <w:color w:val="A87D22"/>
          <w:sz w:val="18"/>
        </w:rPr>
        <w:t>9.</w:t>
        <w:tab/>
      </w:r>
      <w:r>
        <w:rPr>
          <w:rFonts w:ascii="Poppins" w:hAnsi="Poppins" w:eastAsia="Poppins"/>
          <w:b/>
          <w:i w:val="0"/>
          <w:color w:val="14313A"/>
          <w:sz w:val="18"/>
        </w:rPr>
        <w:t xml:space="preserve">Formalización. </w:t>
      </w:r>
      <w:r>
        <w:rPr>
          <w:rFonts w:ascii="Poppins" w:hAnsi="Poppins" w:eastAsia="Poppins"/>
          <w:b w:val="0"/>
          <w:i w:val="0"/>
          <w:color w:val="2A2620"/>
          <w:sz w:val="18"/>
        </w:rPr>
        <w:t>Las condiciones aquí comunicadas deberán instrumentarse por escrito y ser suscritas por la parte compradora y por la parte vendedora, esta última por medio de quien acredite facultades suficientes. Meridiano Capital, a través de su broker inmobiliario Juan José Castillo, en su carácter de inmobiliaria colocadora, canaliza esta respuesta sin ejercer representación legal de ninguna de las partes ni obligar a M.T. BAT Sociedad Anónima.</w:t>
      </w:r>
    </w:p>
    <w:tbl>
      <w:tblPr>
        <w:tblW w:type="dxa" w:w="9639"/>
        <w:tblLook w:firstColumn="1" w:firstRow="1" w:lastColumn="0" w:lastRow="0" w:noHBand="0" w:noVBand="1" w:val="04A0"/>
        <w:tblBorders>
          <w:top w:val="single" w:sz="6" w:color="C9982E"/>
          <w:left w:val="single" w:sz="6" w:color="C9982E"/>
          <w:bottom w:val="single" w:sz="6" w:color="C9982E"/>
          <w:right w:val="single" w:sz="6" w:color="C9982E"/>
        </w:tblBorders>
        <w:tblLayout w:type="fixed"/>
        <w:tblCellMar>
          <w:top w:w="45" w:type="dxa"/>
          <w:bottom w:w="45" w:type="dxa"/>
          <w:left w:w="140" w:type="dxa"/>
          <w:right w:w="140" w:type="dxa"/>
        </w:tblCellMar>
        <w:tblLayout w:type="fixed"/>
      </w:tblPr>
      <w:tblGrid>
        <w:gridCol w:w="9638"/>
      </w:tblGrid>
      <w:tr>
        <w:tc>
          <w:tcPr>
            <w:tcW w:type="dxa" w:w="9638"/>
            <w:shd w:val="clear" w:color="auto" w:fill="F7F4EE"/>
          </w:tcPr>
          <w:p>
            <w:pPr>
              <w:spacing w:after="0"/>
            </w:pPr>
            <w:r>
              <w:rPr>
                <w:rFonts w:ascii="Poppins" w:hAnsi="Poppins" w:eastAsia="Poppins"/>
                <w:b/>
                <w:i w:val="0"/>
                <w:color w:val="14313A"/>
                <w:sz w:val="19"/>
              </w:rPr>
              <w:t xml:space="preserve">Vigencia: </w:t>
            </w:r>
            <w:r>
              <w:rPr>
                <w:rFonts w:ascii="Poppins" w:hAnsi="Poppins" w:eastAsia="Poppins"/>
                <w:b w:val="0"/>
                <w:i w:val="0"/>
                <w:color w:val="2A2620"/>
                <w:sz w:val="19"/>
              </w:rPr>
              <w:t>la presente propuesta tiene una validez de 30 días hábiles a partir de su fecha de emisión (23 de octubre de 2026).</w:t>
            </w:r>
          </w:p>
        </w:tc>
      </w:tr>
    </w:tbl>
    <w:p>
      <w:pPr>
        <w:keepNext/>
        <w:spacing w:before="140" w:after="400" w:line="254" w:lineRule="auto"/>
        <w:jc w:val="left"/>
      </w:pPr>
      <w:r>
        <w:rPr>
          <w:rFonts w:ascii="Poppins" w:hAnsi="Poppins" w:eastAsia="Poppins"/>
          <w:b w:val="0"/>
          <w:i w:val="0"/>
          <w:color w:val="2A2620"/>
          <w:sz w:val="18"/>
        </w:rPr>
        <w:t>Quedamos a su disposición para recibir su conformidad y coordinar con ambas partes los pasos de instrumentación de la operación, junto con los profesionales que intervengan en su formalización. Esperando una respuesta favorable, le saludamos muy atentamente.</w:t>
      </w:r>
    </w:p>
    <w:p>
      <w:pPr>
        <w:keepNext/>
        <w:spacing w:before="0" w:after="0" w:line="254" w:lineRule="auto"/>
        <w:ind w:left="5556"/>
        <w:jc w:val="left"/>
        <w:pBdr>
          <w:top w:val="single" w:sz="6" w:color="14313A" w:space="4"/>
        </w:pBdr>
      </w:pPr>
      <w:r>
        <w:rPr>
          <w:rFonts w:ascii="Poppins" w:hAnsi="Poppins" w:eastAsia="Poppins"/>
          <w:b/>
          <w:i w:val="0"/>
          <w:color w:val="14313A"/>
          <w:sz w:val="21"/>
        </w:rPr>
        <w:t>JUAN JOSÉ CASTILLO</w:t>
      </w:r>
    </w:p>
    <w:p>
      <w:pPr>
        <w:keepNext/>
        <w:spacing w:before="0" w:after="0" w:line="254" w:lineRule="auto"/>
        <w:ind w:left="5556"/>
        <w:jc w:val="left"/>
      </w:pPr>
      <w:r>
        <w:rPr>
          <w:rFonts w:ascii="Poppins" w:hAnsi="Poppins" w:eastAsia="Poppins"/>
          <w:b/>
          <w:i w:val="0"/>
          <w:color w:val="2A2620"/>
          <w:sz w:val="18"/>
        </w:rPr>
        <w:t>Broker Inmobiliario</w:t>
      </w:r>
    </w:p>
    <w:p>
      <w:pPr>
        <w:keepNext/>
        <w:spacing w:before="0" w:after="0" w:line="254" w:lineRule="auto"/>
        <w:ind w:left="5556"/>
        <w:jc w:val="left"/>
      </w:pPr>
      <w:r>
        <w:rPr>
          <w:rFonts w:ascii="Poppins" w:hAnsi="Poppins" w:eastAsia="Poppins"/>
          <w:b/>
          <w:i w:val="0"/>
          <w:color w:val="14313A"/>
          <w:sz w:val="18"/>
        </w:rPr>
        <w:t>MERIDIANO CAPITAL</w:t>
      </w:r>
    </w:p>
    <w:p>
      <w:pPr>
        <w:keepNext w:val="0"/>
        <w:spacing w:before="0" w:after="0" w:line="254" w:lineRule="auto"/>
        <w:ind w:left="5556"/>
        <w:jc w:val="left"/>
      </w:pPr>
      <w:r>
        <w:rPr>
          <w:rFonts w:ascii="Poppins" w:hAnsi="Poppins" w:eastAsia="Poppins"/>
          <w:b/>
          <w:i w:val="0"/>
          <w:color w:val="A87D22"/>
          <w:sz w:val="18"/>
        </w:rPr>
        <w:t>Inmobiliaria colocadora</w:t>
      </w:r>
    </w:p>
    <w:sectPr w:rsidR="00FC693F" w:rsidRPr="0006063C" w:rsidSect="00034616">
      <w:headerReference w:type="default" r:id="rId9"/>
      <w:footerReference w:type="default" r:id="rId10"/>
      <w:pgSz w:w="11906" w:h="16838"/>
      <w:pgMar w:top="1020" w:right="1134" w:bottom="850" w:left="1134"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oppins" w:hAnsi="Poppins" w:eastAsia="Poppins"/>
        <w:b w:val="0"/>
        <w:i w:val="0"/>
        <w:color w:val="6B6154"/>
        <w:sz w:val="14"/>
      </w:rPr>
      <w:t>Meridiano Capital · Asunción, Paraguay · +595 982 853 111 · juancastillo@meridianocapital.net · www.meridianocapital.net</w:t>
    </w:r>
  </w:p>
  <w:p>
    <w:pPr>
      <w:jc w:val="center"/>
    </w:pPr>
    <w:r>
      <w:rPr>
        <w:rFonts w:ascii="Poppins" w:hAnsi="Poppins" w:eastAsia="Poppins"/>
        <w:b w:val="0"/>
        <w:i w:val="0"/>
        <w:color w:val="6B6154"/>
        <w:sz w:val="14"/>
      </w:rPr>
      <w:t xml:space="preserve">Página </w:t>
    </w:r>
    <w:r>
      <w:rPr>
        <w:rFonts w:ascii="Poppins" w:hAnsi="Poppins" w:eastAsia="Poppins"/>
        <w:b w:val="0"/>
        <w:i w:val="0"/>
        <w:color w:val="6B6154"/>
        <w:sz w:val="14"/>
      </w:rPr>
      <w:fldChar w:fldCharType="begin"/>
      <w:instrText xml:space="preserve">PAGE</w:instrText>
      <w:fldChar w:fldCharType="end"/>
    </w:r>
    <w:r>
      <w:rPr>
        <w:rFonts w:ascii="Poppins" w:hAnsi="Poppins" w:eastAsia="Poppins"/>
        <w:b w:val="0"/>
        <w:i w:val="0"/>
        <w:color w:val="6B6154"/>
        <w:sz w:val="14"/>
      </w:rPr>
      <w:t xml:space="preserve"> de </w:t>
    </w:r>
    <w:r>
      <w:rPr>
        <w:rFonts w:ascii="Poppins" w:hAnsi="Poppins" w:eastAsia="Poppins"/>
        <w:b w:val="0"/>
        <w:i w:val="0"/>
        <w:color w:val="6B6154"/>
        <w:sz w:val="14"/>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639"/>
      <w:tblLayout w:type="fixed"/>
      <w:tblLook w:firstColumn="1" w:firstRow="1" w:lastColumn="0" w:lastRow="0" w:noHBand="0" w:noVBand="1" w:val="04A0"/>
      <w:tblLayout w:type="fixed"/>
    </w:tblPr>
    <w:tblGrid>
      <w:gridCol w:w="5669"/>
      <w:gridCol w:w="3969"/>
    </w:tblGrid>
    <w:tr>
      <w:tc>
        <w:tcPr>
          <w:tcW w:type="dxa" w:w="5669"/>
        </w:tcPr>
        <w:p>
          <w:r>
            <w:drawing>
              <wp:inline xmlns:a="http://schemas.openxmlformats.org/drawingml/2006/main" xmlns:pic="http://schemas.openxmlformats.org/drawingml/2006/picture">
                <wp:extent cx="1342832" cy="360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42832" cy="360000"/>
                        </a:xfrm>
                        <a:prstGeom prst="rect"/>
                      </pic:spPr>
                    </pic:pic>
                  </a:graphicData>
                </a:graphic>
              </wp:inline>
            </w:drawing>
          </w:r>
        </w:p>
      </w:tc>
      <w:tc>
        <w:tcPr>
          <w:tcW w:type="dxa" w:w="3969"/>
          <w:vAlign w:val="center"/>
        </w:tcPr>
        <w:p>
          <w:pPr>
            <w:jc w:val="right"/>
          </w:pPr>
          <w:r>
            <w:rPr>
              <w:rFonts w:ascii="Poppins" w:hAnsi="Poppins" w:eastAsia="Poppins"/>
              <w:b/>
              <w:i w:val="0"/>
              <w:color w:val="A87D22"/>
              <w:sz w:val="15"/>
            </w:rPr>
            <w:t>EDIFICIO INOX · REPÚBLICA ARGENTINA</w:t>
          </w:r>
        </w:p>
      </w:tc>
    </w:tr>
  </w:tbl>
  <w:p>
    <w:pPr>
      <w:spacing w:after="0"/>
      <w:pBdr>
        <w:bottom w:val="single" w:sz="4" w:color="DAD2C0"/>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