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20" w:line="250" w:lineRule="auto"/>
        <w:jc w:val="center"/>
      </w:pPr>
      <w:r>
        <w:rPr>
          <w:rFonts w:ascii="Fraunces" w:hAnsi="Fraunces" w:eastAsia="Fraunces"/>
          <w:b w:val="0"/>
          <w:i w:val="0"/>
          <w:color w:val="14313A"/>
          <w:sz w:val="29"/>
          <w:spacing w:val="30"/>
        </w:rPr>
        <w:t>RESPUESTA A PROPUESTA DE COMPRA Y CONTRAOFERTA</w:t>
      </w:r>
    </w:p>
    <w:p>
      <w:pPr>
        <w:keepNext w:val="0"/>
        <w:spacing w:before="0" w:after="0" w:line="250" w:lineRule="auto"/>
        <w:jc w:val="center"/>
      </w:pPr>
      <w:r>
        <w:rPr>
          <w:rFonts w:ascii="Poppins" w:hAnsi="Poppins" w:eastAsia="Poppins"/>
          <w:b w:val="0"/>
          <w:i w:val="0"/>
          <w:color w:val="6B6154"/>
          <w:sz w:val="19"/>
        </w:rPr>
        <w:t>Edificio Inox · Avda. República Argentina esquina Tobatí · Asunción</w:t>
      </w:r>
    </w:p>
    <w:p>
      <w:pPr>
        <w:keepNext w:val="0"/>
        <w:spacing w:before="40" w:after="80" w:line="250" w:lineRule="auto"/>
        <w:jc w:val="both"/>
        <w:pBdr>
          <w:bottom w:val="single" w:sz="4" w:color="DAD2C0"/>
        </w:pBdr>
      </w:pPr>
    </w:p>
    <w:p>
      <w:pPr>
        <w:keepNext w:val="0"/>
        <w:spacing w:before="0" w:after="0" w:line="250" w:lineRule="auto"/>
        <w:jc w:val="right"/>
      </w:pPr>
      <w:r>
        <w:rPr>
          <w:rFonts w:ascii="Poppins" w:hAnsi="Poppins" w:eastAsia="Poppins"/>
          <w:b w:val="0"/>
          <w:i w:val="0"/>
          <w:color w:val="A87D22"/>
          <w:sz w:val="19"/>
        </w:rPr>
        <w:t>Asunción, 23 de octubre de 2026</w:t>
      </w:r>
    </w:p>
    <w:p>
      <w:pPr>
        <w:keepNext w:val="0"/>
        <w:spacing w:before="0" w:after="120" w:line="250" w:lineRule="auto"/>
        <w:jc w:val="right"/>
      </w:pPr>
      <w:r>
        <w:rPr>
          <w:rFonts w:ascii="Poppins" w:hAnsi="Poppins" w:eastAsia="Poppins"/>
          <w:b w:val="0"/>
          <w:i w:val="0"/>
          <w:color w:val="6B6154"/>
          <w:sz w:val="15"/>
        </w:rPr>
        <w:t>Ref. interna: REPARG-001-CO01 · v3</w:t>
      </w:r>
    </w:p>
    <w:tbl>
      <w:tblPr>
        <w:tblW w:type="dxa" w:w="9639"/>
        <w:tblLook w:firstColumn="1" w:firstRow="1" w:lastColumn="0" w:lastRow="0" w:noHBand="0" w:noVBand="1" w:val="04A0"/>
        <w:jc w:val="center"/>
        <w:tblBorders>
          <w:top w:val="single" w:sz="4" w:color="DAD2C0"/>
          <w:left w:val="single" w:sz="4" w:color="DAD2C0"/>
          <w:bottom w:val="single" w:sz="4" w:color="DAD2C0"/>
          <w:right w:val="single" w:sz="4" w:color="DAD2C0"/>
          <w:insideH w:val="single" w:sz="4" w:color="DAD2C0"/>
          <w:insideV w:val="single" w:sz="4" w:color="DAD2C0"/>
        </w:tblBorders>
        <w:tblLayout w:type="fixed"/>
        <w:tblCellMar>
          <w:top w:w="30" w:type="dxa"/>
          <w:bottom w:w="30" w:type="dxa"/>
          <w:left w:w="110" w:type="dxa"/>
          <w:right w:w="110" w:type="dxa"/>
        </w:tblCellMar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val="clear" w:color="auto" w:fill="14313A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COMPRADOR / OFERENTE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7"/>
              </w:rPr>
              <w:t>Matías Manzato · C.I. N.º 9489984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4313A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PARTE VENDEDORA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7"/>
              </w:rPr>
              <w:t>M.T. BAT Sociedad Anónima · representante: Sra. Mabel Torrico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4313A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INMOBILIARIA COLOCADORA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7"/>
              </w:rPr>
              <w:t>Meridiano Capital, a través de Juan José Castillo · Broker inmobiliario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14313A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ASESORA INMOBILIARIA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7"/>
              </w:rPr>
              <w:t>Lourdes Baratto</w:t>
            </w:r>
          </w:p>
        </w:tc>
      </w:tr>
    </w:tbl>
    <w:p>
      <w:pPr>
        <w:keepNext w:val="0"/>
        <w:spacing w:before="160" w:after="0" w:line="250" w:lineRule="auto"/>
        <w:jc w:val="left"/>
      </w:pPr>
      <w:r>
        <w:rPr>
          <w:rFonts w:ascii="Poppins" w:hAnsi="Poppins" w:eastAsia="Poppins"/>
          <w:b w:val="0"/>
          <w:i w:val="0"/>
          <w:color w:val="2A2620"/>
          <w:sz w:val="18"/>
        </w:rPr>
        <w:t>Señor</w:t>
      </w:r>
    </w:p>
    <w:p>
      <w:pPr>
        <w:keepNext w:val="0"/>
        <w:spacing w:before="0" w:after="0" w:line="250" w:lineRule="auto"/>
        <w:jc w:val="left"/>
      </w:pPr>
      <w:r>
        <w:rPr>
          <w:rFonts w:ascii="Poppins" w:hAnsi="Poppins" w:eastAsia="Poppins"/>
          <w:b/>
          <w:i w:val="0"/>
          <w:color w:val="14313A"/>
          <w:sz w:val="18"/>
        </w:rPr>
        <w:t>Matías Manzato</w:t>
      </w:r>
    </w:p>
    <w:p>
      <w:pPr>
        <w:keepNext w:val="0"/>
        <w:spacing w:before="0" w:after="120" w:line="250" w:lineRule="auto"/>
        <w:jc w:val="left"/>
      </w:pPr>
      <w:r>
        <w:rPr>
          <w:rFonts w:ascii="Poppins" w:hAnsi="Poppins" w:eastAsia="Poppins"/>
          <w:b w:val="0"/>
          <w:i w:val="0"/>
          <w:color w:val="2A2620"/>
          <w:sz w:val="18"/>
        </w:rPr>
        <w:t>Presente</w:t>
      </w:r>
    </w:p>
    <w:p>
      <w:pPr>
        <w:keepNext w:val="0"/>
        <w:spacing w:before="0" w:after="120" w:line="250" w:lineRule="auto"/>
        <w:jc w:val="center"/>
      </w:pPr>
      <w:r>
        <w:rPr>
          <w:rFonts w:ascii="Poppins" w:hAnsi="Poppins" w:eastAsia="Poppins"/>
          <w:b/>
          <w:i w:val="0"/>
          <w:color w:val="14313A"/>
          <w:sz w:val="18"/>
        </w:rPr>
        <w:t>Ref.: Respuesta a su propuesta de compra del 16 de octubre de 2026 – Edificio Inox, Asunción</w:t>
      </w:r>
    </w:p>
    <w:p>
      <w:pPr>
        <w:keepNext w:val="0"/>
        <w:spacing w:before="0" w:after="100" w:line="250" w:lineRule="auto"/>
        <w:ind w:firstLine="567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Por medio de la presente le transmitimos la respuesta de la parte vendedora a su propuesta formal de compra del 16 de octubre de 2026 por USD 700.000. Meridiano Capital actúa en esta operación como inmobiliaria colocadora a través de su broker inmobiliario Juan José Castillo.</w:t>
      </w:r>
    </w:p>
    <w:p>
      <w:pPr>
        <w:keepNext w:val="0"/>
        <w:spacing w:before="0" w:after="100" w:line="250" w:lineRule="auto"/>
        <w:ind w:firstLine="567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Su propuesta se refiere al Edificio Inox, ubicado en Avda. República Argentina esquina Tobatí de Asunción e identificado con la Cuenta Corriente Catastral N.º 14-0322-17. El inmueble es propiedad de M.T. BAT Sociedad Anónima, representada por la señora Mabel Torrico.</w:t>
      </w:r>
    </w:p>
    <w:p>
      <w:pPr>
        <w:keepNext w:val="0"/>
        <w:spacing w:before="0" w:after="100" w:line="250" w:lineRule="auto"/>
        <w:ind w:firstLine="567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Su presentación como interesado consta en la carta de presentación de cliente y reconocimiento de comisión dirigida a la parte vendedora. Esa carta deja constancia de la intermediación de los dos asesores inmobiliarios intervinientes: la señora Lourdes Baratto y Meridiano Capital a través de su broker inmobiliario Juan José Castillo.</w:t>
      </w:r>
    </w:p>
    <w:p>
      <w:pPr>
        <w:keepNext w:val="0"/>
        <w:spacing w:before="0" w:after="40" w:line="250" w:lineRule="auto"/>
        <w:ind w:firstLine="567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La parte vendedora tuvo en cuenta los presupuestos y las necesidades de remodelación que usted planteó para regularizar los planos y realizar los arreglos básicos del edificio. En consideración de ello, acepta reducir el precio de venta a USD 820.000 (ochocientos veinte mil dólares estadounidenses) en las condiciones que se detallan a continuación. La reducción no implica que la parte vendedora asuma la ejecución ni el costo de esas reformas o regularizaciones.</w:t>
      </w:r>
    </w:p>
    <w:p>
      <w:pPr>
        <w:keepNext/>
        <w:spacing w:before="120" w:after="60" w:line="250" w:lineRule="auto"/>
        <w:jc w:val="left"/>
        <w:pBdr>
          <w:bottom w:val="single" w:sz="4" w:color="DAD2C0" w:space="2"/>
        </w:pBdr>
      </w:pPr>
      <w:r>
        <w:rPr>
          <w:rFonts w:ascii="Fraunces" w:hAnsi="Fraunces" w:eastAsia="Fraunces"/>
          <w:b w:val="0"/>
          <w:i w:val="0"/>
          <w:color w:val="14313A"/>
          <w:sz w:val="24"/>
        </w:rPr>
        <w:t>Precio y forma de pago</w:t>
      </w:r>
    </w:p>
    <w:tbl>
      <w:tblPr>
        <w:tblW w:type="dxa" w:w="9639"/>
        <w:tblLook w:firstColumn="1" w:firstRow="1" w:lastColumn="0" w:lastRow="0" w:noHBand="0" w:noVBand="1" w:val="04A0"/>
        <w:jc w:val="center"/>
        <w:tblBorders>
          <w:top w:val="single" w:sz="4" w:color="DAD2C0"/>
          <w:left w:val="single" w:sz="4" w:color="DAD2C0"/>
          <w:bottom w:val="single" w:sz="4" w:color="DAD2C0"/>
          <w:right w:val="single" w:sz="4" w:color="DAD2C0"/>
          <w:insideH w:val="single" w:sz="4" w:color="DAD2C0"/>
          <w:insideV w:val="single" w:sz="4" w:color="DAD2C0"/>
        </w:tblBorders>
        <w:tblLayout w:type="fixed"/>
        <w:tblCellMar>
          <w:top w:w="30" w:type="dxa"/>
          <w:bottom w:w="30" w:type="dxa"/>
          <w:left w:w="110" w:type="dxa"/>
          <w:right w:w="110" w:type="dxa"/>
        </w:tblCellMar>
        <w:tblLayout w:type="fixed"/>
      </w:tblPr>
      <w:tblGrid>
        <w:gridCol w:w="2608"/>
        <w:gridCol w:w="5216"/>
        <w:gridCol w:w="1814"/>
      </w:tblGrid>
      <w:tr>
        <w:trPr>
          <w:cantSplit/>
        </w:trPr>
        <w:tc>
          <w:tcPr>
            <w:tcW w:type="dxa" w:w="2608"/>
            <w:shd w:val="clear" w:color="auto" w:fill="14313A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CONCEPTO</w:t>
            </w:r>
          </w:p>
        </w:tc>
        <w:tc>
          <w:tcPr>
            <w:tcW w:type="dxa" w:w="5216"/>
            <w:shd w:val="clear" w:color="auto" w:fill="14313A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OPORTUNIDAD Y FORMA DE PAGO</w:t>
            </w:r>
          </w:p>
        </w:tc>
        <w:tc>
          <w:tcPr>
            <w:tcW w:type="dxa" w:w="1814"/>
            <w:shd w:val="clear" w:color="auto" w:fill="14313A"/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Poppins" w:hAnsi="Poppins" w:eastAsia="Poppins"/>
                <w:b/>
                <w:i w:val="0"/>
                <w:color w:val="FFFFFF"/>
                <w:sz w:val="15"/>
              </w:rPr>
              <w:t>IMPORTE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8"/>
              </w:rPr>
              <w:t>Reserva</w:t>
            </w:r>
          </w:p>
          <w:p>
            <w:pPr>
              <w:keepNext/>
              <w:spacing w:after="0"/>
            </w:pPr>
            <w:r>
              <w:rPr>
                <w:rFonts w:ascii="Poppins" w:hAnsi="Poppins" w:eastAsia="Poppins"/>
                <w:b w:val="0"/>
                <w:i/>
                <w:color w:val="6B6154"/>
                <w:sz w:val="15"/>
              </w:rPr>
              <w:t>Ochenta y dos mil dólares estadounidenses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Una vez aceptada la presente propuesta, mediante transferencia bancaria a la cuenta que indique la parte vendedora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USD 82.000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4EE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8"/>
              </w:rPr>
              <w:t>Seña de trato</w:t>
            </w:r>
          </w:p>
          <w:p>
            <w:pPr>
              <w:keepNext/>
              <w:spacing w:after="0"/>
            </w:pPr>
            <w:r>
              <w:rPr>
                <w:rFonts w:ascii="Poppins" w:hAnsi="Poppins" w:eastAsia="Poppins"/>
                <w:b w:val="0"/>
                <w:i/>
                <w:color w:val="6B6154"/>
                <w:sz w:val="15"/>
              </w:rPr>
              <w:t>Ciento sesenta y ocho mil dólares estadounidenses</w:t>
            </w:r>
          </w:p>
        </w:tc>
        <w:tc>
          <w:tcPr>
            <w:tcW w:type="dxa" w:w="5216"/>
            <w:shd w:val="clear" w:color="auto" w:fill="F7F4EE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A la firma del contrato privado de compraventa en escribanía, en un lapso no mayor a 30 días corridos desde la reserva, mediante transferencia bancaria</w:t>
            </w:r>
          </w:p>
        </w:tc>
        <w:tc>
          <w:tcPr>
            <w:tcW w:type="dxa" w:w="1814"/>
            <w:shd w:val="clear" w:color="auto" w:fill="F7F4EE"/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USD 168.000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8"/>
              </w:rPr>
              <w:t>Saldo de la operación</w:t>
            </w:r>
          </w:p>
          <w:p>
            <w:pPr>
              <w:keepNext/>
              <w:spacing w:after="0"/>
            </w:pPr>
            <w:r>
              <w:rPr>
                <w:rFonts w:ascii="Poppins" w:hAnsi="Poppins" w:eastAsia="Poppins"/>
                <w:b w:val="0"/>
                <w:i/>
                <w:color w:val="6B6154"/>
                <w:sz w:val="15"/>
              </w:rPr>
              <w:t>Quinientos setenta mil dólares estadounidenses</w:t>
            </w:r>
          </w:p>
        </w:tc>
        <w:tc>
          <w:tcPr>
            <w:tcW w:type="dxa" w:w="5216"/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A la firma de la escritura traslativa de dominio en escribanía, en un lapso de 180 días hábiles a partir de la seña de trato, mediante transferencia bancaria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USD 570.000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6"/>
              </w:rPr>
              <w:t>PRECIO TOTAL DE VENTA</w:t>
            </w:r>
          </w:p>
        </w:tc>
        <w:tc>
          <w:tcPr>
            <w:tcW w:type="dxa" w:w="5216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/>
                <w:color w:val="6B6154"/>
                <w:sz w:val="17"/>
              </w:rPr>
              <w:t>Ochocientos veinte mil dólares estadounidenses</w:t>
            </w:r>
          </w:p>
        </w:tc>
        <w:tc>
          <w:tcPr>
            <w:tcW w:type="dxa" w:w="1814"/>
            <w:shd w:val="clear" w:color="auto" w:fill="F3EDE3"/>
            <w:vAlign w:val="center"/>
          </w:tcPr>
          <w:p>
            <w:pPr>
              <w:spacing w:after="0"/>
              <w:jc w:val="right"/>
            </w:pPr>
            <w:r>
              <w:rPr>
                <w:rFonts w:ascii="Poppins" w:hAnsi="Poppins" w:eastAsia="Poppins"/>
                <w:b/>
                <w:i w:val="0"/>
                <w:color w:val="14313A"/>
                <w:sz w:val="21"/>
              </w:rPr>
              <w:t>USD 820.000</w:t>
            </w:r>
          </w:p>
        </w:tc>
      </w:tr>
    </w:tbl>
    <w:p>
      <w:pPr>
        <w:keepNext w:val="0"/>
        <w:spacing w:before="80" w:after="4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La reserva y la seña de trato se imputan íntegramente al precio. El saldo de USD 570.000 sustituye al saldo de USD 450.000 previsto en su propuesta.</w:t>
      </w:r>
    </w:p>
    <w:p>
      <w:pPr>
        <w:keepNext/>
        <w:spacing w:before="120" w:after="60" w:line="250" w:lineRule="auto"/>
        <w:jc w:val="left"/>
        <w:pBdr>
          <w:bottom w:val="single" w:sz="4" w:color="DAD2C0" w:space="2"/>
        </w:pBdr>
      </w:pPr>
      <w:r>
        <w:rPr>
          <w:rFonts w:ascii="Fraunces" w:hAnsi="Fraunces" w:eastAsia="Fraunces"/>
          <w:b w:val="0"/>
          <w:i w:val="0"/>
          <w:color w:val="14313A"/>
          <w:sz w:val="24"/>
        </w:rPr>
        <w:t>Condiciones de la operación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1.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Comisión inmobiliaria. </w:t>
      </w:r>
      <w:r>
        <w:rPr>
          <w:rFonts w:ascii="Poppins" w:hAnsi="Poppins" w:eastAsia="Poppins"/>
          <w:b w:val="0"/>
          <w:i w:val="0"/>
          <w:color w:val="2A2620"/>
          <w:sz w:val="18"/>
        </w:rPr>
        <w:t>La comisión inmobiliaria del 5,5 % (cinco coma cinco por ciento) será abonada en un 100 % por la parte vendedora.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2.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Gastos de transferencia. </w:t>
      </w:r>
      <w:r>
        <w:rPr>
          <w:rFonts w:ascii="Poppins" w:hAnsi="Poppins" w:eastAsia="Poppins"/>
          <w:b w:val="0"/>
          <w:i w:val="0"/>
          <w:color w:val="2A2620"/>
          <w:sz w:val="18"/>
        </w:rPr>
        <w:t>Los gastos de transferencia serán pagados en un 50 % por la parte compradora y en un 50 % por la parte vendedora. Este reparto es independiente de los impuestos indicados en los puntos siguientes.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3.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IVA. </w:t>
      </w:r>
      <w:r>
        <w:rPr>
          <w:rFonts w:ascii="Poppins" w:hAnsi="Poppins" w:eastAsia="Poppins"/>
          <w:b w:val="0"/>
          <w:i w:val="0"/>
          <w:color w:val="2A2620"/>
          <w:sz w:val="18"/>
        </w:rPr>
        <w:t>El IVA correspondiente a la venta del inmueble será pagado por la parte vendedora a la tasa del 5 % aplicable a la enajenación de inmuebles, como lo establece la ley. No se adiciona al precio de USD 820.000.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4.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Impuestos inmobiliarios. </w:t>
      </w:r>
      <w:r>
        <w:rPr>
          <w:rFonts w:ascii="Poppins" w:hAnsi="Poppins" w:eastAsia="Poppins"/>
          <w:b w:val="0"/>
          <w:i w:val="0"/>
          <w:color w:val="2A2620"/>
          <w:sz w:val="18"/>
        </w:rPr>
        <w:t>Los impuestos inmobiliarios deben estar al día y son a cargo de la parte vendedora, como lo establece la ley.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5.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Aprobación bancaria. </w:t>
      </w:r>
      <w:r>
        <w:rPr>
          <w:rFonts w:ascii="Poppins" w:hAnsi="Poppins" w:eastAsia="Poppins"/>
          <w:b w:val="0"/>
          <w:i w:val="0"/>
          <w:color w:val="2A2620"/>
          <w:sz w:val="18"/>
        </w:rPr>
        <w:t>Toda la operación y las transferencias estarán sujetas a la aprobación del banco interviniente. La parte vendedora se compromete a facilitar y gestionar de común acuerdo toda la información y la documentación que soliciten los bancos intervinientes en las transferencias.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6.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Acompañamiento de transición. </w:t>
      </w:r>
      <w:r>
        <w:rPr>
          <w:rFonts w:ascii="Poppins" w:hAnsi="Poppins" w:eastAsia="Poppins"/>
          <w:b w:val="0"/>
          <w:i w:val="0"/>
          <w:color w:val="2A2620"/>
          <w:sz w:val="18"/>
        </w:rPr>
        <w:t>La parte vendedora se compromete a acompañar a la parte compradora durante seis (6) meses desde la compra. Brindará toda la información y el conocimiento necesarios para el traspaso de la documentación y de la gestión de locación del edificio. Este acompañamiento es informativo y de transición: no constituye garantía de renta, administración del edificio ni cobranza, ni responsabilidad por las decisiones futuras de la parte compradora.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7.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Verificación documental. </w:t>
      </w:r>
      <w:r>
        <w:rPr>
          <w:rFonts w:ascii="Poppins" w:hAnsi="Poppins" w:eastAsia="Poppins"/>
          <w:b w:val="0"/>
          <w:i w:val="0"/>
          <w:color w:val="2A2620"/>
          <w:sz w:val="18"/>
        </w:rPr>
        <w:t>Conforme a su propuesta, la operación sigue sujeta a la verificación de la documentación de dominio del inmueble y de que se encuentre libre de gravámenes. La presente no implica que esa verificación ya se haya realizado.</w:t>
      </w:r>
    </w:p>
    <w:p>
      <w:pPr>
        <w:keepNext w:val="0"/>
        <w:tabs>
          <w:tab w:pos="425" w:val="left"/>
        </w:tabs>
        <w:spacing w:before="0" w:after="40" w:line="250" w:lineRule="auto"/>
        <w:ind w:left="425" w:hanging="425"/>
        <w:jc w:val="both"/>
      </w:pPr>
      <w:r>
        <w:rPr>
          <w:rFonts w:ascii="Poppins" w:hAnsi="Poppins" w:eastAsia="Poppins"/>
          <w:b/>
          <w:i w:val="0"/>
          <w:color w:val="A87D22"/>
          <w:sz w:val="18"/>
        </w:rPr>
        <w:t>8.</w:t>
        <w:tab/>
      </w:r>
      <w:r>
        <w:rPr>
          <w:rFonts w:ascii="Poppins" w:hAnsi="Poppins" w:eastAsia="Poppins"/>
          <w:b/>
          <w:i w:val="0"/>
          <w:color w:val="14313A"/>
          <w:sz w:val="18"/>
        </w:rPr>
        <w:t xml:space="preserve">Formalización. </w:t>
      </w:r>
      <w:r>
        <w:rPr>
          <w:rFonts w:ascii="Poppins" w:hAnsi="Poppins" w:eastAsia="Poppins"/>
          <w:b w:val="0"/>
          <w:i w:val="0"/>
          <w:color w:val="2A2620"/>
          <w:sz w:val="18"/>
        </w:rPr>
        <w:t>Las condiciones aquí comunicadas deberán instrumentarse por escrito y ser firmadas por la parte compradora y por la parte vendedora. Por la parte vendedora firmará quien acredite facultades suficientes.</w:t>
      </w:r>
    </w:p>
    <w:p>
      <w:pPr>
        <w:keepNext/>
        <w:spacing w:before="120" w:after="60" w:line="250" w:lineRule="auto"/>
        <w:jc w:val="left"/>
        <w:pBdr>
          <w:bottom w:val="single" w:sz="4" w:color="DAD2C0" w:space="2"/>
        </w:pBdr>
      </w:pPr>
      <w:r>
        <w:rPr>
          <w:rFonts w:ascii="Fraunces" w:hAnsi="Fraunces" w:eastAsia="Fraunces"/>
          <w:b w:val="0"/>
          <w:i w:val="0"/>
          <w:color w:val="14313A"/>
          <w:sz w:val="24"/>
        </w:rPr>
        <w:t>Vigencia, respuesta y alcance</w:t>
      </w:r>
    </w:p>
    <w:p>
      <w:pPr>
        <w:keepNext w:val="0"/>
        <w:spacing w:before="0" w:after="8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La presente propuesta tiene una validez de 30 (treinta) días hábiles a partir de su fecha de emisión, el 23 de octubre de 2026. La parte compradora comunicará su respuesta por escrito mediante el formulario adjunto a la presente.</w:t>
      </w:r>
    </w:p>
    <w:p>
      <w:pPr>
        <w:keepNext w:val="0"/>
        <w:spacing w:before="0" w:after="8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Meridiano Capital interviene como inmobiliaria colocadora a través de su broker inmobiliario Juan José Castillo, con la función de presentar y canalizar esta respuesta. Ninguno de los asesores inmobiliarios intervinientes representa legalmente a las partes ni está facultado para obligar a M.T. BAT Sociedad Anónima, aceptar en nombre de la parte compradora o recibir fondos de la operación.</w:t>
      </w:r>
    </w:p>
    <w:p>
      <w:pPr>
        <w:keepNext/>
        <w:spacing w:before="0" w:after="6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Sin otro particular y aguardando una respuesta favorable, le saludamos atentamente.</w:t>
      </w:r>
    </w:p>
    <w:p>
      <w:pPr>
        <w:keepNext/>
        <w:spacing w:before="0" w:after="0" w:line="250" w:lineRule="auto"/>
        <w:jc w:val="left"/>
      </w:pPr>
      <w:r>
        <w:rPr>
          <w:rFonts w:ascii="Poppins" w:hAnsi="Poppins" w:eastAsia="Poppins"/>
          <w:b w:val="0"/>
          <w:i/>
          <w:color w:val="6B6154"/>
          <w:sz w:val="16"/>
        </w:rPr>
        <w:t>Firmas de los intervinientes. La parte vendedora firma en conformidad con estas condiciones; la parte compradora, en toma de conocimiento.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300" w:type="dxa"/>
          <w:right w:w="300" w:type="dxa"/>
        </w:tblCellMar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top"/>
          </w:tcPr>
          <w:p>
            <w:pPr>
              <w:keepNext/>
              <w:spacing w:before="400" w:after="0"/>
              <w:jc w:val="center"/>
              <w:pBdr>
                <w:top w:val="single" w:sz="6" w:color="14313A" w:space="4"/>
              </w:pBdr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MABEL TORRICO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6"/>
              </w:rPr>
              <w:t>En representación de M.T. BAT S.A.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6"/>
              </w:rPr>
              <w:t>C.I. N.º 2035707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/>
                <w:i w:val="0"/>
                <w:color w:val="A87D22"/>
                <w:sz w:val="16"/>
              </w:rPr>
              <w:t>PARTE VENDEDORA</w:t>
            </w:r>
          </w:p>
        </w:tc>
        <w:tc>
          <w:tcPr>
            <w:tcW w:type="dxa" w:w="4819"/>
            <w:vAlign w:val="top"/>
          </w:tcPr>
          <w:p>
            <w:pPr>
              <w:keepNext/>
              <w:spacing w:before="400" w:after="0"/>
              <w:jc w:val="center"/>
              <w:pBdr>
                <w:top w:val="single" w:sz="6" w:color="14313A" w:space="4"/>
              </w:pBdr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MATÍAS MANZATO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6"/>
              </w:rPr>
              <w:t>C.I. N.º 9489984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/>
                <w:i w:val="0"/>
                <w:color w:val="A87D22"/>
                <w:sz w:val="16"/>
              </w:rPr>
              <w:t>COMPRADOR / OFERENTE</w:t>
            </w:r>
          </w:p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keepNext/>
              <w:spacing w:before="400" w:after="0"/>
              <w:jc w:val="center"/>
              <w:pBdr>
                <w:top w:val="single" w:sz="6" w:color="14313A" w:space="4"/>
              </w:pBdr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JUAN JOSÉ CASTILLO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6"/>
              </w:rPr>
              <w:t>C.I. N.º 9289273 · Broker Inmobiliario</w:t>
            </w:r>
          </w:p>
          <w:p>
            <w:pPr>
              <w:keepNext w:val="0"/>
              <w:spacing w:after="0"/>
              <w:jc w:val="center"/>
            </w:pPr>
            <w:r>
              <w:rPr>
                <w:rFonts w:ascii="Poppins" w:hAnsi="Poppins" w:eastAsia="Poppins"/>
                <w:b/>
                <w:i w:val="0"/>
                <w:color w:val="A87D22"/>
                <w:sz w:val="16"/>
              </w:rPr>
              <w:t>INMOBILIARIA COLOCADORA</w:t>
            </w:r>
          </w:p>
        </w:tc>
        <w:tc>
          <w:tcPr>
            <w:tcW w:type="dxa" w:w="4819"/>
            <w:vAlign w:val="top"/>
          </w:tcPr>
          <w:p>
            <w:pPr>
              <w:keepNext/>
              <w:spacing w:before="400" w:after="0"/>
              <w:jc w:val="center"/>
              <w:pBdr>
                <w:top w:val="single" w:sz="6" w:color="14313A" w:space="4"/>
              </w:pBdr>
            </w:pPr>
            <w:r>
              <w:rPr>
                <w:rFonts w:ascii="Poppins" w:hAnsi="Poppins" w:eastAsia="Poppins"/>
                <w:b/>
                <w:i w:val="0"/>
                <w:color w:val="14313A"/>
                <w:sz w:val="19"/>
              </w:rPr>
              <w:t>LOURDES BARATTO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6"/>
              </w:rPr>
              <w:t>C.I. N.º 4480441</w:t>
            </w:r>
          </w:p>
          <w:p>
            <w:pPr>
              <w:keepNext w:val="0"/>
              <w:spacing w:after="0"/>
              <w:jc w:val="center"/>
            </w:pPr>
            <w:r>
              <w:rPr>
                <w:rFonts w:ascii="Poppins" w:hAnsi="Poppins" w:eastAsia="Poppins"/>
                <w:b/>
                <w:i w:val="0"/>
                <w:color w:val="A87D22"/>
                <w:sz w:val="16"/>
              </w:rPr>
              <w:t>ASESORA INMOBILIARIA</w:t>
            </w:r>
          </w:p>
        </w:tc>
      </w:tr>
    </w:tbl>
    <w:p>
      <w:pPr>
        <w:keepNext/>
        <w:spacing w:before="0" w:after="60" w:line="250" w:lineRule="auto"/>
        <w:jc w:val="left"/>
        <w:pageBreakBefore/>
        <w:pBdr>
          <w:bottom w:val="single" w:sz="4" w:color="DAD2C0" w:space="2"/>
        </w:pBdr>
      </w:pPr>
      <w:r>
        <w:rPr>
          <w:rFonts w:ascii="Fraunces" w:hAnsi="Fraunces" w:eastAsia="Fraunces"/>
          <w:b w:val="0"/>
          <w:i w:val="0"/>
          <w:color w:val="14313A"/>
          <w:sz w:val="24"/>
        </w:rPr>
        <w:t>Constancia de recepción</w:t>
      </w:r>
    </w:p>
    <w:p>
      <w:pPr>
        <w:keepNext w:val="0"/>
        <w:spacing w:before="0" w:after="10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Recibí copia de esta respuesta y contraoferta. Esta constancia acredita únicamente la recepción y no implica aceptación.</w:t>
      </w:r>
    </w:p>
    <w:tbl>
      <w:tblPr>
        <w:tblW w:type="dxa" w:w="9639"/>
        <w:tblLook w:firstColumn="1" w:firstRow="1" w:lastColumn="0" w:lastRow="0" w:noHBand="0" w:noVBand="1" w:val="04A0"/>
        <w:jc w:val="center"/>
        <w:tblBorders>
          <w:top w:val="single" w:sz="4" w:color="DAD2C0"/>
          <w:left w:val="single" w:sz="4" w:color="DAD2C0"/>
          <w:bottom w:val="single" w:sz="4" w:color="DAD2C0"/>
          <w:right w:val="single" w:sz="4" w:color="DAD2C0"/>
          <w:insideH w:val="single" w:sz="4" w:color="DAD2C0"/>
          <w:insideV w:val="single" w:sz="4" w:color="DAD2C0"/>
        </w:tblBorders>
        <w:tblLayout w:type="fixed"/>
        <w:tblCellMar>
          <w:top w:w="30" w:type="dxa"/>
          <w:bottom w:w="30" w:type="dxa"/>
          <w:left w:w="110" w:type="dxa"/>
          <w:right w:w="110" w:type="dxa"/>
        </w:tblCellMar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FECHA Y HORA DE RECEPCIÓN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____ / ____ / ________ · ____ : ____ hs (hora de Asunción)</w:t>
            </w:r>
          </w:p>
        </w:tc>
      </w:tr>
      <w:tr>
        <w:trPr>
          <w:cantSplit/>
          <w:trHeight w:val="737"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FIRMA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ACLARACIÓN Y DOCUMENTO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Matías Manzato · C.I. N.º 9489984</w:t>
            </w:r>
          </w:p>
        </w:tc>
      </w:tr>
    </w:tbl>
    <w:p>
      <w:pPr>
        <w:keepNext/>
        <w:spacing w:before="280" w:after="60" w:line="250" w:lineRule="auto"/>
        <w:jc w:val="left"/>
        <w:pBdr>
          <w:bottom w:val="single" w:sz="4" w:color="DAD2C0" w:space="2"/>
        </w:pBdr>
      </w:pPr>
      <w:r>
        <w:rPr>
          <w:rFonts w:ascii="Fraunces" w:hAnsi="Fraunces" w:eastAsia="Fraunces"/>
          <w:b w:val="0"/>
          <w:i w:val="0"/>
          <w:color w:val="14313A"/>
          <w:sz w:val="24"/>
        </w:rPr>
        <w:t>Respuesta de la parte compradora</w:t>
      </w:r>
    </w:p>
    <w:p>
      <w:pPr>
        <w:keepNext w:val="0"/>
        <w:spacing w:before="0" w:after="60" w:line="250" w:lineRule="auto"/>
        <w:jc w:val="left"/>
      </w:pPr>
      <w:r>
        <w:rPr>
          <w:rFonts w:ascii="Poppins" w:hAnsi="Poppins" w:eastAsia="Poppins"/>
          <w:b w:val="0"/>
          <w:i w:val="0"/>
          <w:color w:val="2A2620"/>
          <w:sz w:val="18"/>
        </w:rPr>
        <w:t>Marcar una sola opción:</w:t>
      </w:r>
    </w:p>
    <w:p>
      <w:pPr>
        <w:keepNext w:val="0"/>
        <w:spacing w:before="0" w:after="60" w:line="250" w:lineRule="auto"/>
        <w:jc w:val="left"/>
      </w:pPr>
      <w:r>
        <w:rPr>
          <w:rFonts w:ascii="Poppins" w:hAnsi="Poppins" w:eastAsia="Poppins"/>
          <w:b w:val="0"/>
          <w:i w:val="0"/>
          <w:color w:val="14313A"/>
          <w:sz w:val="20"/>
        </w:rPr>
        <w:t xml:space="preserve">☐  </w:t>
      </w:r>
      <w:r>
        <w:rPr>
          <w:rFonts w:ascii="Poppins" w:hAnsi="Poppins" w:eastAsia="Poppins"/>
          <w:b w:val="0"/>
          <w:i w:val="0"/>
          <w:color w:val="2A2620"/>
          <w:sz w:val="18"/>
        </w:rPr>
        <w:t>Acepto íntegramente la contraoferta en los términos de esta carta.</w:t>
      </w:r>
    </w:p>
    <w:p>
      <w:pPr>
        <w:keepNext w:val="0"/>
        <w:spacing w:before="0" w:after="60" w:line="250" w:lineRule="auto"/>
        <w:jc w:val="left"/>
      </w:pPr>
      <w:r>
        <w:rPr>
          <w:rFonts w:ascii="Poppins" w:hAnsi="Poppins" w:eastAsia="Poppins"/>
          <w:b w:val="0"/>
          <w:i w:val="0"/>
          <w:color w:val="14313A"/>
          <w:sz w:val="20"/>
        </w:rPr>
        <w:t xml:space="preserve">☐  </w:t>
      </w:r>
      <w:r>
        <w:rPr>
          <w:rFonts w:ascii="Poppins" w:hAnsi="Poppins" w:eastAsia="Poppins"/>
          <w:b w:val="0"/>
          <w:i w:val="0"/>
          <w:color w:val="2A2620"/>
          <w:sz w:val="18"/>
        </w:rPr>
        <w:t>Rechazo la contraoferta.</w:t>
      </w:r>
    </w:p>
    <w:p>
      <w:pPr>
        <w:keepNext w:val="0"/>
        <w:spacing w:before="0" w:after="60" w:line="250" w:lineRule="auto"/>
        <w:jc w:val="left"/>
      </w:pPr>
      <w:r>
        <w:rPr>
          <w:rFonts w:ascii="Poppins" w:hAnsi="Poppins" w:eastAsia="Poppins"/>
          <w:b w:val="0"/>
          <w:i w:val="0"/>
          <w:color w:val="14313A"/>
          <w:sz w:val="20"/>
        </w:rPr>
        <w:t xml:space="preserve">☐  </w:t>
      </w:r>
      <w:r>
        <w:rPr>
          <w:rFonts w:ascii="Poppins" w:hAnsi="Poppins" w:eastAsia="Poppins"/>
          <w:b w:val="0"/>
          <w:i w:val="0"/>
          <w:color w:val="2A2620"/>
          <w:sz w:val="18"/>
        </w:rPr>
        <w:t>Formulo la siguiente contrapropuesta (no implica aceptación de los términos de esta carta):</w:t>
      </w:r>
    </w:p>
    <w:tbl>
      <w:tblPr>
        <w:tblW w:type="dxa" w:w="9639"/>
        <w:tblLayout w:type="fixed"/>
        <w:tblLook w:firstColumn="1" w:firstRow="1" w:lastColumn="0" w:lastRow="0" w:noHBand="0" w:noVBand="1" w:val="04A0"/>
        <w:tblBorders>
          <w:top w:val="single" w:sz="4" w:color="DAD2C0"/>
          <w:left w:val="single" w:sz="4" w:color="DAD2C0"/>
          <w:bottom w:val="single" w:sz="4" w:color="DAD2C0"/>
          <w:right w:val="single" w:sz="4" w:color="DAD2C0"/>
        </w:tblBorders>
        <w:tblLayout w:type="fixed"/>
      </w:tblPr>
      <w:tblGrid>
        <w:gridCol w:w="9638"/>
      </w:tblGrid>
      <w:tr>
        <w:trPr>
          <w:trHeight w:val="1814"/>
        </w:trPr>
        <w:tc>
          <w:tcPr>
            <w:tcW w:type="dxa" w:w="9638"/>
          </w:tcPr>
          <w:p/>
        </w:tc>
      </w:tr>
    </w:tbl>
    <w:p>
      <w:pPr>
        <w:keepNext w:val="0"/>
        <w:spacing w:before="160" w:after="100" w:line="250" w:lineRule="auto"/>
        <w:jc w:val="both"/>
      </w:pPr>
      <w:r>
        <w:rPr>
          <w:rFonts w:ascii="Poppins" w:hAnsi="Poppins" w:eastAsia="Poppins"/>
          <w:b w:val="0"/>
          <w:i w:val="0"/>
          <w:color w:val="2A2620"/>
          <w:sz w:val="18"/>
        </w:rPr>
        <w:t>En caso de aceptación, las partes instrumentarán la operación por escrito conforme a las condiciones detalladas en esta carta, con la intervención de los asesores inmobiliarios y de la escribanía que corresponda.</w:t>
      </w:r>
    </w:p>
    <w:tbl>
      <w:tblPr>
        <w:tblW w:type="dxa" w:w="9639"/>
        <w:tblLook w:firstColumn="1" w:firstRow="1" w:lastColumn="0" w:lastRow="0" w:noHBand="0" w:noVBand="1" w:val="04A0"/>
        <w:jc w:val="center"/>
        <w:tblBorders>
          <w:top w:val="single" w:sz="4" w:color="DAD2C0"/>
          <w:left w:val="single" w:sz="4" w:color="DAD2C0"/>
          <w:bottom w:val="single" w:sz="4" w:color="DAD2C0"/>
          <w:right w:val="single" w:sz="4" w:color="DAD2C0"/>
          <w:insideH w:val="single" w:sz="4" w:color="DAD2C0"/>
          <w:insideV w:val="single" w:sz="4" w:color="DAD2C0"/>
        </w:tblBorders>
        <w:tblLayout w:type="fixed"/>
        <w:tblCellMar>
          <w:top w:w="30" w:type="dxa"/>
          <w:bottom w:w="30" w:type="dxa"/>
          <w:left w:w="110" w:type="dxa"/>
          <w:right w:w="110" w:type="dxa"/>
        </w:tblCellMar>
        <w:tblLayout w:type="fixed"/>
      </w:tblPr>
      <w:tblGrid>
        <w:gridCol w:w="2835"/>
        <w:gridCol w:w="6803"/>
      </w:tblGrid>
      <w:tr>
        <w:trPr>
          <w:cantSplit/>
          <w:trHeight w:val="737"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FIRMA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ACLARACIÓN Y C.I. N.º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Matías Manzato · C.I. N.º 9489984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EDE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14313A"/>
                <w:sz w:val="15"/>
              </w:rPr>
              <w:t>FECHA Y HORA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620"/>
                <w:sz w:val="17"/>
              </w:rPr>
              <w:t>____ / ____ / ________ · ____ : ____ hs (hora de Asunción)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 w:eastAsia="Poppins"/>
        <w:b w:val="0"/>
        <w:i w:val="0"/>
        <w:color w:val="6B6154"/>
        <w:sz w:val="14"/>
      </w:rPr>
      <w:t>Meridiano Capital · Asunción, Paraguay · +595 982 853 111 · juancastillo@meridianocapital.net · www.meridianocapital.net</w:t>
    </w:r>
  </w:p>
  <w:p>
    <w:pPr>
      <w:jc w:val="center"/>
    </w:pPr>
    <w:r>
      <w:rPr>
        <w:rFonts w:ascii="Poppins" w:hAnsi="Poppins" w:eastAsia="Poppins"/>
        <w:b w:val="0"/>
        <w:i w:val="0"/>
        <w:color w:val="6B6154"/>
        <w:sz w:val="14"/>
      </w:rPr>
      <w:t xml:space="preserve">Página </w:t>
    </w:r>
    <w:r>
      <w:rPr>
        <w:rFonts w:ascii="Poppins" w:hAnsi="Poppins" w:eastAsia="Poppins"/>
        <w:b w:val="0"/>
        <w:i w:val="0"/>
        <w:color w:val="6B6154"/>
        <w:sz w:val="14"/>
      </w:rPr>
      <w:fldChar w:fldCharType="begin"/>
    </w:r>
    <w:r>
      <w:rPr>
        <w:rFonts w:ascii="Poppins" w:hAnsi="Poppins" w:eastAsia="Poppins"/>
        <w:b w:val="0"/>
        <w:i w:val="0"/>
        <w:color w:val="6B6154"/>
        <w:sz w:val="14"/>
      </w:rPr>
      <w:instrText xml:space="preserve"> PAGE </w:instrText>
    </w:r>
    <w:r>
      <w:rPr>
        <w:rFonts w:ascii="Poppins" w:hAnsi="Poppins" w:eastAsia="Poppins"/>
        <w:b w:val="0"/>
        <w:i w:val="0"/>
        <w:color w:val="6B6154"/>
        <w:sz w:val="14"/>
      </w:rPr>
      <w:fldChar w:fldCharType="separate"/>
    </w:r>
    <w:r>
      <w:rPr>
        <w:rFonts w:ascii="Poppins" w:hAnsi="Poppins" w:eastAsia="Poppins"/>
        <w:b w:val="0"/>
        <w:i w:val="0"/>
        <w:color w:val="6B6154"/>
        <w:sz w:val="14"/>
      </w:rPr>
      <w:t>1</w:t>
    </w:r>
    <w:r>
      <w:rPr>
        <w:rFonts w:ascii="Poppins" w:hAnsi="Poppins" w:eastAsia="Poppins"/>
        <w:b w:val="0"/>
        <w:i w:val="0"/>
        <w:color w:val="6B6154"/>
        <w:sz w:val="14"/>
      </w:rPr>
      <w:fldChar w:fldCharType="end"/>
    </w:r>
    <w:r>
      <w:rPr>
        <w:rFonts w:ascii="Poppins" w:hAnsi="Poppins" w:eastAsia="Poppins"/>
        <w:b w:val="0"/>
        <w:i w:val="0"/>
        <w:color w:val="6B6154"/>
        <w:sz w:val="14"/>
      </w:rPr>
      <w:t xml:space="preserve"> de </w:t>
    </w:r>
    <w:r>
      <w:rPr>
        <w:rFonts w:ascii="Poppins" w:hAnsi="Poppins" w:eastAsia="Poppins"/>
        <w:b w:val="0"/>
        <w:i w:val="0"/>
        <w:color w:val="6B6154"/>
        <w:sz w:val="14"/>
      </w:rPr>
      <w:fldChar w:fldCharType="begin"/>
    </w:r>
    <w:r>
      <w:rPr>
        <w:rFonts w:ascii="Poppins" w:hAnsi="Poppins" w:eastAsia="Poppins"/>
        <w:b w:val="0"/>
        <w:i w:val="0"/>
        <w:color w:val="6B6154"/>
        <w:sz w:val="14"/>
      </w:rPr>
      <w:instrText xml:space="preserve"> NUMPAGES </w:instrText>
    </w:r>
    <w:r>
      <w:rPr>
        <w:rFonts w:ascii="Poppins" w:hAnsi="Poppins" w:eastAsia="Poppins"/>
        <w:b w:val="0"/>
        <w:i w:val="0"/>
        <w:color w:val="6B6154"/>
        <w:sz w:val="14"/>
      </w:rPr>
      <w:fldChar w:fldCharType="separate"/>
    </w:r>
    <w:r>
      <w:rPr>
        <w:rFonts w:ascii="Poppins" w:hAnsi="Poppins" w:eastAsia="Poppins"/>
        <w:b w:val="0"/>
        <w:i w:val="0"/>
        <w:color w:val="6B6154"/>
        <w:sz w:val="14"/>
      </w:rPr>
      <w:t>1</w:t>
    </w:r>
    <w:r>
      <w:rPr>
        <w:rFonts w:ascii="Poppins" w:hAnsi="Poppins" w:eastAsia="Poppins"/>
        <w:b w:val="0"/>
        <w:i w:val="0"/>
        <w:color w:val="6B6154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42832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2832" cy="3600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pBdr>
        <w:bottom w:val="single" w:sz="4" w:color="C9982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