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mbria" w:hAnsi="Cambria"/>
          <w:b w:val="0"/>
          <w:i w:val="0"/>
          <w:color w:val="14313A"/>
          <w:sz w:val="32"/>
          <w:spacing w:val="20"/>
        </w:rPr>
        <w:t>CARTA DE OFERTA DE COMPRA</w:t>
      </w:r>
    </w:p>
    <w:p>
      <w:pPr>
        <w:spacing w:after="160"/>
        <w:jc w:val="center"/>
        <w:pBdr>
          <w:bottom w:val="single" w:sz="6" w:space="4" w:color="14313A"/>
        </w:pBdr>
      </w:pPr>
      <w:r>
        <w:rPr>
          <w:rFonts w:ascii="Calibri" w:hAnsi="Calibri"/>
          <w:b w:val="0"/>
          <w:i w:val="0"/>
          <w:color w:val="14313A"/>
          <w:sz w:val="22"/>
        </w:rPr>
        <w:t>Casa · Gral. Carlos Díaz León N° 3126 · Barrio Herrera</w:t>
      </w:r>
    </w:p>
    <w:p>
      <w:pPr>
        <w:spacing w:after="0"/>
        <w:jc w:val="right"/>
      </w:pPr>
      <w:r>
        <w:rPr>
          <w:b w:val="0"/>
          <w:i w:val="0"/>
          <w:color w:val="6B6154"/>
        </w:rPr>
        <w:t>Asunción, 13 de octubre de 2026</w:t>
      </w:r>
    </w:p>
    <w:p>
      <w:pPr>
        <w:spacing w:after="160"/>
        <w:jc w:val="right"/>
      </w:pPr>
      <w:r>
        <w:rPr>
          <w:b w:val="0"/>
          <w:i w:val="0"/>
          <w:color w:val="6B6154"/>
          <w:sz w:val="16"/>
        </w:rPr>
        <w:t>Ref. interna: HERRERA-002-OF01 · v3</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14313A"/>
          </w:tcPr>
          <w:p>
            <w:pPr>
              <w:keepNext/>
              <w:spacing w:after="40" w:before="40"/>
            </w:pPr>
            <w:r>
              <w:rPr>
                <w:b/>
                <w:i w:val="0"/>
                <w:color w:val="FFFFFF"/>
                <w:sz w:val="18"/>
              </w:rPr>
              <w:t>PRESENTA</w:t>
            </w:r>
          </w:p>
        </w:tc>
        <w:tc>
          <w:tcPr>
            <w:tcW w:type="dxa" w:w="6350"/>
          </w:tcPr>
          <w:p>
            <w:pPr>
              <w:keepNext/>
              <w:spacing w:after="40" w:before="40"/>
            </w:pPr>
            <w:r>
              <w:rPr>
                <w:b/>
                <w:i w:val="0"/>
                <w:sz w:val="19"/>
              </w:rPr>
              <w:t>Meridiano Capital, a través de Juan José Castillo · Broker inmobiliario (captador)</w:t>
            </w:r>
          </w:p>
        </w:tc>
      </w:tr>
      <w:tr>
        <w:trPr>
          <w:cantSplit/>
        </w:trPr>
        <w:tc>
          <w:tcPr>
            <w:tcW w:type="dxa" w:w="2948"/>
            <w:shd w:val="clear" w:color="auto" w:fill="14313A"/>
          </w:tcPr>
          <w:p>
            <w:pPr>
              <w:keepNext/>
              <w:spacing w:after="40" w:before="40"/>
            </w:pPr>
            <w:r>
              <w:rPr>
                <w:b/>
                <w:i w:val="0"/>
                <w:color w:val="FFFFFF"/>
                <w:sz w:val="18"/>
              </w:rPr>
              <w:t>OFERENTE / COMPRADORA</w:t>
            </w:r>
          </w:p>
        </w:tc>
        <w:tc>
          <w:tcPr>
            <w:tcW w:type="dxa" w:w="6350"/>
          </w:tcPr>
          <w:p>
            <w:pPr>
              <w:keepNext/>
              <w:spacing w:after="40" w:before="40"/>
            </w:pPr>
            <w:r>
              <w:rPr>
                <w:b/>
                <w:i w:val="0"/>
                <w:sz w:val="19"/>
              </w:rPr>
              <w:t>Ana Liesel Guggiari Niederberger · C.I. N° 3.209.470</w:t>
            </w:r>
          </w:p>
        </w:tc>
      </w:tr>
      <w:tr>
        <w:trPr>
          <w:cantSplit/>
        </w:trPr>
        <w:tc>
          <w:tcPr>
            <w:tcW w:type="dxa" w:w="2948"/>
            <w:shd w:val="clear" w:color="auto" w:fill="14313A"/>
          </w:tcPr>
          <w:p>
            <w:pPr>
              <w:keepNext w:val="0"/>
              <w:spacing w:after="40" w:before="40"/>
            </w:pPr>
            <w:r>
              <w:rPr>
                <w:b/>
                <w:i w:val="0"/>
                <w:color w:val="FFFFFF"/>
                <w:sz w:val="18"/>
              </w:rPr>
              <w:t>COLOCADOR</w:t>
            </w:r>
          </w:p>
        </w:tc>
        <w:tc>
          <w:tcPr>
            <w:tcW w:type="dxa" w:w="6350"/>
          </w:tcPr>
          <w:p>
            <w:pPr>
              <w:keepNext w:val="0"/>
              <w:spacing w:after="40" w:before="40"/>
            </w:pPr>
            <w:r>
              <w:rPr>
                <w:b/>
                <w:i w:val="0"/>
                <w:sz w:val="19"/>
              </w:rPr>
              <w:t>Supremo EAS, a través de Mario Luis Dávalos Díaz</w:t>
            </w:r>
          </w:p>
        </w:tc>
      </w:tr>
    </w:tbl>
    <w:p>
      <w:pPr>
        <w:spacing w:after="0"/>
      </w:pPr>
    </w:p>
    <w:p>
      <w:pPr>
        <w:spacing w:after="0"/>
      </w:pPr>
      <w:r>
        <w:rPr>
          <w:b w:val="0"/>
          <w:i w:val="0"/>
        </w:rPr>
        <w:t>Señora</w:t>
      </w:r>
    </w:p>
    <w:p>
      <w:pPr>
        <w:spacing w:after="0"/>
      </w:pPr>
      <w:r>
        <w:rPr>
          <w:b/>
          <w:i w:val="0"/>
        </w:rPr>
        <w:t>Andrea Elizabeth Cáceres de Ruiz</w:t>
      </w:r>
    </w:p>
    <w:p>
      <w:pPr>
        <w:spacing w:after="0"/>
      </w:pPr>
      <w:r>
        <w:rPr>
          <w:b w:val="0"/>
          <w:i w:val="0"/>
        </w:rPr>
        <w:t>Presente</w:t>
      </w:r>
    </w:p>
    <w:p>
      <w:pPr>
        <w:spacing w:after="80"/>
      </w:pPr>
    </w:p>
    <w:p>
      <w:pPr>
        <w:spacing w:after="160"/>
        <w:jc w:val="center"/>
      </w:pPr>
      <w:r>
        <w:rPr>
          <w:b/>
          <w:i w:val="0"/>
          <w:color w:val="14313A"/>
        </w:rPr>
        <w:t>Ref.: Oferta de compra – Casa en Gral. Carlos Díaz León N° 3126, Barrio Herrera, Asunción</w:t>
      </w:r>
    </w:p>
    <w:p>
      <w:pPr>
        <w:ind w:firstLine="567"/>
        <w:jc w:val="both"/>
      </w:pPr>
      <w:r>
        <w:rPr>
          <w:b w:val="0"/>
          <w:i w:val="0"/>
        </w:rPr>
        <w:t>Por medio de la presente, la señora Ana Liesel Guggiari Niederberger, con Cédula de Identidad paraguaya N° 3.209.470, presentada por Supremo EAS a través de su agente Mario Luis Dávalos Díaz, formula una oferta de compra del inmueble de su propiedad que se describe a continuación, la cual Meridiano Capital canaliza y somete a su consideración en los términos y condiciones siguientes.</w:t>
      </w:r>
    </w:p>
    <w:p>
      <w:pPr>
        <w:keepNext/>
        <w:spacing w:after="60" w:before="80"/>
      </w:pPr>
      <w:r>
        <w:rPr>
          <w:rFonts w:ascii="Cambria" w:hAnsi="Cambria"/>
          <w:b w:val="0"/>
          <w:i w:val="0"/>
          <w:color w:val="14313A"/>
          <w:sz w:val="24"/>
        </w:rPr>
        <w:t>Inmueble objeto de la oferta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835"/>
        <w:gridCol w:w="6463"/>
      </w:tblGrid>
      <w:tr>
        <w:trPr>
          <w:cantSplit/>
        </w:trPr>
        <w:tc>
          <w:tcPr>
            <w:tcW w:type="dxa" w:w="2835"/>
            <w:shd w:val="clear" w:color="auto" w:fill="F7F4EE"/>
          </w:tcPr>
          <w:p>
            <w:pPr>
              <w:keepNext/>
              <w:spacing w:after="40" w:before="40"/>
            </w:pPr>
            <w:r>
              <w:rPr>
                <w:b/>
                <w:i w:val="0"/>
                <w:color w:val="14313A"/>
                <w:sz w:val="18"/>
              </w:rPr>
              <w:t>TIPO</w:t>
            </w:r>
          </w:p>
        </w:tc>
        <w:tc>
          <w:tcPr>
            <w:tcW w:type="dxa" w:w="6463"/>
          </w:tcPr>
          <w:p>
            <w:pPr>
              <w:keepNext/>
              <w:spacing w:after="40" w:before="40"/>
            </w:pPr>
            <w:r>
              <w:rPr>
                <w:b w:val="0"/>
                <w:i w:val="0"/>
                <w:sz w:val="19"/>
              </w:rPr>
              <w:t>Casa</w:t>
            </w:r>
          </w:p>
        </w:tc>
      </w:tr>
      <w:tr>
        <w:trPr>
          <w:cantSplit/>
        </w:trPr>
        <w:tc>
          <w:tcPr>
            <w:tcW w:type="dxa" w:w="2835"/>
            <w:shd w:val="clear" w:color="auto" w:fill="F7F4EE"/>
          </w:tcPr>
          <w:p>
            <w:pPr>
              <w:keepNext/>
              <w:spacing w:after="40" w:before="40"/>
            </w:pPr>
            <w:r>
              <w:rPr>
                <w:b/>
                <w:i w:val="0"/>
                <w:color w:val="14313A"/>
                <w:sz w:val="18"/>
              </w:rPr>
              <w:t>UBICACIÓN</w:t>
            </w:r>
          </w:p>
        </w:tc>
        <w:tc>
          <w:tcPr>
            <w:tcW w:type="dxa" w:w="6463"/>
          </w:tcPr>
          <w:p>
            <w:pPr>
              <w:keepNext/>
              <w:spacing w:after="40" w:before="40"/>
            </w:pPr>
            <w:r>
              <w:rPr>
                <w:b w:val="0"/>
                <w:i w:val="0"/>
                <w:sz w:val="19"/>
              </w:rPr>
              <w:t>Gral. Carlos Díaz León N° 3126, Barrio Herrera, Asunción</w:t>
            </w:r>
          </w:p>
        </w:tc>
      </w:tr>
      <w:tr>
        <w:trPr>
          <w:cantSplit/>
        </w:trPr>
        <w:tc>
          <w:tcPr>
            <w:tcW w:type="dxa" w:w="2835"/>
            <w:shd w:val="clear" w:color="auto" w:fill="F7F4EE"/>
          </w:tcPr>
          <w:p>
            <w:pPr>
              <w:keepNext/>
              <w:spacing w:after="40" w:before="40"/>
            </w:pPr>
            <w:r>
              <w:rPr>
                <w:b/>
                <w:i w:val="0"/>
                <w:color w:val="14313A"/>
                <w:sz w:val="18"/>
              </w:rPr>
              <w:t>CUENTA CORRIENTE CATASTRAL</w:t>
            </w:r>
          </w:p>
        </w:tc>
        <w:tc>
          <w:tcPr>
            <w:tcW w:type="dxa" w:w="6463"/>
          </w:tcPr>
          <w:p>
            <w:pPr>
              <w:keepNext/>
              <w:spacing w:after="40" w:before="40"/>
            </w:pPr>
            <w:r>
              <w:rPr>
                <w:b w:val="0"/>
                <w:i w:val="0"/>
                <w:sz w:val="19"/>
              </w:rPr>
              <w:t>14-0504-18-0</w:t>
            </w:r>
          </w:p>
        </w:tc>
      </w:tr>
      <w:tr>
        <w:trPr>
          <w:cantSplit/>
        </w:trPr>
        <w:tc>
          <w:tcPr>
            <w:tcW w:type="dxa" w:w="2835"/>
            <w:shd w:val="clear" w:color="auto" w:fill="F7F4EE"/>
          </w:tcPr>
          <w:p>
            <w:pPr>
              <w:keepNext/>
              <w:spacing w:after="40" w:before="40"/>
            </w:pPr>
            <w:r>
              <w:rPr>
                <w:b/>
                <w:i w:val="0"/>
                <w:color w:val="14313A"/>
                <w:sz w:val="18"/>
              </w:rPr>
              <w:t>SUPERFICIE DE TERRENO</w:t>
            </w:r>
          </w:p>
        </w:tc>
        <w:tc>
          <w:tcPr>
            <w:tcW w:type="dxa" w:w="6463"/>
          </w:tcPr>
          <w:p>
            <w:pPr>
              <w:keepNext/>
              <w:spacing w:after="40" w:before="40"/>
            </w:pPr>
            <w:r>
              <w:rPr>
                <w:b w:val="0"/>
                <w:i w:val="0"/>
                <w:sz w:val="19"/>
              </w:rPr>
              <w:t>402 m² (según registro municipal)</w:t>
            </w:r>
          </w:p>
        </w:tc>
      </w:tr>
      <w:tr>
        <w:trPr>
          <w:cantSplit/>
        </w:trPr>
        <w:tc>
          <w:tcPr>
            <w:tcW w:type="dxa" w:w="2835"/>
            <w:shd w:val="clear" w:color="auto" w:fill="F7F4EE"/>
          </w:tcPr>
          <w:p>
            <w:pPr>
              <w:keepNext w:val="0"/>
              <w:spacing w:after="40" w:before="40"/>
            </w:pPr>
            <w:r>
              <w:rPr>
                <w:b/>
                <w:i w:val="0"/>
                <w:color w:val="14313A"/>
                <w:sz w:val="18"/>
              </w:rPr>
              <w:t>SUPERFICIE EDIFICADA</w:t>
            </w:r>
          </w:p>
        </w:tc>
        <w:tc>
          <w:tcPr>
            <w:tcW w:type="dxa" w:w="6463"/>
          </w:tcPr>
          <w:p>
            <w:pPr>
              <w:keepNext w:val="0"/>
              <w:spacing w:after="40" w:before="40"/>
            </w:pPr>
            <w:r>
              <w:rPr>
                <w:b w:val="0"/>
                <w:i w:val="0"/>
                <w:sz w:val="19"/>
              </w:rPr>
              <w:t>112 m² (según registro municipal)</w:t>
            </w:r>
          </w:p>
        </w:tc>
      </w:tr>
    </w:tbl>
    <w:p>
      <w:pPr>
        <w:spacing w:after="0"/>
      </w:pPr>
    </w:p>
    <w:p>
      <w:pPr>
        <w:keepNext/>
        <w:spacing w:after="60" w:before="80"/>
      </w:pPr>
      <w:r>
        <w:rPr>
          <w:rFonts w:ascii="Cambria" w:hAnsi="Cambria"/>
          <w:b w:val="0"/>
          <w:i w:val="0"/>
          <w:color w:val="14313A"/>
          <w:sz w:val="24"/>
        </w:rPr>
        <w:t>Precio</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835"/>
        <w:gridCol w:w="6463"/>
      </w:tblGrid>
      <w:tr>
        <w:trPr>
          <w:cantSplit/>
        </w:trPr>
        <w:tc>
          <w:tcPr>
            <w:tcW w:type="dxa" w:w="2835"/>
            <w:shd w:val="clear" w:color="auto" w:fill="F7F4EE"/>
          </w:tcPr>
          <w:p>
            <w:pPr>
              <w:keepNext/>
              <w:spacing w:after="40" w:before="40"/>
            </w:pPr>
            <w:r>
              <w:rPr>
                <w:b/>
                <w:i w:val="0"/>
                <w:color w:val="14313A"/>
                <w:sz w:val="18"/>
              </w:rPr>
              <w:t>PRECIO DE VENTA PUBLICADO (REFERENCIA)</w:t>
            </w:r>
          </w:p>
        </w:tc>
        <w:tc>
          <w:tcPr>
            <w:tcW w:type="dxa" w:w="6463"/>
          </w:tcPr>
          <w:p>
            <w:pPr>
              <w:keepNext/>
              <w:spacing w:after="40" w:before="40"/>
            </w:pPr>
            <w:r>
              <w:rPr>
                <w:b w:val="0"/>
                <w:i w:val="0"/>
                <w:sz w:val="19"/>
              </w:rPr>
              <w:t>USD 220.000 (doscientos veinte mil dólares estadounidenses)</w:t>
            </w:r>
          </w:p>
        </w:tc>
      </w:tr>
      <w:tr>
        <w:trPr>
          <w:cantSplit/>
        </w:trPr>
        <w:tc>
          <w:tcPr>
            <w:tcW w:type="dxa" w:w="2835"/>
            <w:shd w:val="clear" w:color="auto" w:fill="F7F4EE"/>
          </w:tcPr>
          <w:p>
            <w:pPr>
              <w:keepNext w:val="0"/>
              <w:spacing w:after="40" w:before="40"/>
            </w:pPr>
            <w:r>
              <w:rPr>
                <w:b/>
                <w:i w:val="0"/>
                <w:color w:val="14313A"/>
                <w:sz w:val="18"/>
              </w:rPr>
              <w:t>PRECIO OFERTADO</w:t>
            </w:r>
          </w:p>
        </w:tc>
        <w:tc>
          <w:tcPr>
            <w:tcW w:type="dxa" w:w="6463"/>
          </w:tcPr>
          <w:p>
            <w:pPr>
              <w:keepNext w:val="0"/>
              <w:spacing w:after="40" w:before="40"/>
            </w:pPr>
            <w:r>
              <w:rPr>
                <w:b w:val="0"/>
                <w:i w:val="0"/>
                <w:sz w:val="19"/>
              </w:rPr>
              <w:t>Gs 1.000.000.000 (mil millones de guaraníes)</w:t>
            </w:r>
          </w:p>
        </w:tc>
      </w:tr>
    </w:tbl>
    <w:p>
      <w:pPr>
        <w:spacing w:after="0"/>
      </w:pPr>
    </w:p>
    <w:p>
      <w:pPr>
        <w:jc w:val="both"/>
      </w:pPr>
      <w:r>
        <w:rPr>
          <w:b w:val="0"/>
          <w:i w:val="0"/>
        </w:rPr>
        <w:t>La oferta se formula y se pagará íntegramente en guaraníes. El precio ofertado es una suma fija en guaraníes y no se ajustará por variaciones del tipo de cambio.</w:t>
      </w:r>
    </w:p>
    <w:p>
      <w:pPr>
        <w:keepNext/>
        <w:spacing w:after="60" w:before="80"/>
      </w:pPr>
      <w:r>
        <w:rPr>
          <w:rFonts w:ascii="Cambria" w:hAnsi="Cambria"/>
          <w:b w:val="0"/>
          <w:i w:val="0"/>
          <w:color w:val="14313A"/>
          <w:sz w:val="24"/>
        </w:rPr>
        <w:t>Forma de pago</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211"/>
        <w:gridCol w:w="1814"/>
        <w:gridCol w:w="964"/>
        <w:gridCol w:w="2154"/>
        <w:gridCol w:w="2154"/>
      </w:tblGrid>
      <w:tr>
        <w:trPr>
          <w:cantSplit/>
        </w:trPr>
        <w:tc>
          <w:tcPr>
            <w:tcW w:type="dxa" w:w="2211"/>
            <w:shd w:val="clear" w:color="auto" w:fill="14313A"/>
          </w:tcPr>
          <w:p>
            <w:pPr>
              <w:keepNext/>
              <w:spacing w:after="20"/>
            </w:pPr>
            <w:r>
              <w:rPr>
                <w:b/>
                <w:i w:val="0"/>
                <w:color w:val="FFFFFF"/>
                <w:sz w:val="18"/>
              </w:rPr>
              <w:t>Concepto</w:t>
            </w:r>
          </w:p>
        </w:tc>
        <w:tc>
          <w:tcPr>
            <w:tcW w:type="dxa" w:w="1814"/>
            <w:shd w:val="clear" w:color="auto" w:fill="14313A"/>
          </w:tcPr>
          <w:p>
            <w:pPr>
              <w:keepNext/>
              <w:spacing w:after="20"/>
            </w:pPr>
            <w:r>
              <w:rPr>
                <w:b/>
                <w:i w:val="0"/>
                <w:color w:val="FFFFFF"/>
                <w:sz w:val="18"/>
              </w:rPr>
              <w:t>Importe</w:t>
            </w:r>
          </w:p>
        </w:tc>
        <w:tc>
          <w:tcPr>
            <w:tcW w:type="dxa" w:w="964"/>
            <w:shd w:val="clear" w:color="auto" w:fill="14313A"/>
          </w:tcPr>
          <w:p>
            <w:pPr>
              <w:keepNext/>
              <w:spacing w:after="20"/>
            </w:pPr>
            <w:r>
              <w:rPr>
                <w:b/>
                <w:i w:val="0"/>
                <w:color w:val="FFFFFF"/>
                <w:sz w:val="18"/>
              </w:rPr>
              <w:t>Moneda</w:t>
            </w:r>
          </w:p>
        </w:tc>
        <w:tc>
          <w:tcPr>
            <w:tcW w:type="dxa" w:w="2154"/>
            <w:shd w:val="clear" w:color="auto" w:fill="14313A"/>
          </w:tcPr>
          <w:p>
            <w:pPr>
              <w:keepNext/>
              <w:spacing w:after="20"/>
            </w:pPr>
            <w:r>
              <w:rPr>
                <w:b/>
                <w:i w:val="0"/>
                <w:color w:val="FFFFFF"/>
                <w:sz w:val="18"/>
              </w:rPr>
              <w:t>Fecha o hito</w:t>
            </w:r>
          </w:p>
        </w:tc>
        <w:tc>
          <w:tcPr>
            <w:tcW w:type="dxa" w:w="2154"/>
            <w:shd w:val="clear" w:color="auto" w:fill="14313A"/>
          </w:tcPr>
          <w:p>
            <w:pPr>
              <w:keepNext/>
              <w:spacing w:after="20"/>
            </w:pPr>
            <w:r>
              <w:rPr>
                <w:b/>
                <w:i w:val="0"/>
                <w:color w:val="FFFFFF"/>
                <w:sz w:val="18"/>
              </w:rPr>
              <w:t>Condición</w:t>
            </w:r>
          </w:p>
        </w:tc>
      </w:tr>
      <w:tr>
        <w:trPr>
          <w:cantSplit/>
        </w:trPr>
        <w:tc>
          <w:tcPr>
            <w:tcW w:type="dxa" w:w="2211"/>
          </w:tcPr>
          <w:p>
            <w:pPr>
              <w:keepNext/>
              <w:spacing w:after="20"/>
            </w:pPr>
            <w:r>
              <w:rPr>
                <w:b w:val="0"/>
                <w:i w:val="0"/>
                <w:sz w:val="18"/>
              </w:rPr>
              <w:t>Seña (opcional)</w:t>
            </w:r>
          </w:p>
        </w:tc>
        <w:tc>
          <w:tcPr>
            <w:tcW w:type="dxa" w:w="1814"/>
          </w:tcPr>
          <w:p>
            <w:pPr>
              <w:keepNext/>
              <w:spacing w:after="20"/>
            </w:pPr>
            <w:r>
              <w:rPr>
                <w:b w:val="0"/>
                <w:i w:val="0"/>
                <w:sz w:val="18"/>
              </w:rPr>
              <w:t>A convenir</w:t>
            </w:r>
          </w:p>
        </w:tc>
        <w:tc>
          <w:tcPr>
            <w:tcW w:type="dxa" w:w="964"/>
          </w:tcPr>
          <w:p>
            <w:pPr>
              <w:keepNext/>
              <w:spacing w:after="20"/>
            </w:pPr>
            <w:r>
              <w:rPr>
                <w:b w:val="0"/>
                <w:i w:val="0"/>
                <w:sz w:val="18"/>
              </w:rPr>
              <w:t>Gs</w:t>
            </w:r>
          </w:p>
        </w:tc>
        <w:tc>
          <w:tcPr>
            <w:tcW w:type="dxa" w:w="2154"/>
          </w:tcPr>
          <w:p>
            <w:pPr>
              <w:keepNext/>
              <w:spacing w:after="20"/>
            </w:pPr>
            <w:r>
              <w:rPr>
                <w:b w:val="0"/>
                <w:i w:val="0"/>
                <w:sz w:val="18"/>
              </w:rPr>
              <w:t>A convenir por escrito entre las partes</w:t>
            </w:r>
          </w:p>
        </w:tc>
        <w:tc>
          <w:tcPr>
            <w:tcW w:type="dxa" w:w="2154"/>
          </w:tcPr>
          <w:p>
            <w:pPr>
              <w:keepNext/>
              <w:spacing w:after="20"/>
            </w:pPr>
            <w:r>
              <w:rPr>
                <w:b w:val="0"/>
                <w:i w:val="0"/>
                <w:sz w:val="18"/>
              </w:rPr>
              <w:t>Pago a cuenta, se imputa al precio</w:t>
            </w:r>
          </w:p>
        </w:tc>
      </w:tr>
      <w:tr>
        <w:trPr>
          <w:cantSplit/>
        </w:trPr>
        <w:tc>
          <w:tcPr>
            <w:tcW w:type="dxa" w:w="2211"/>
            <w:shd w:val="clear" w:color="auto" w:fill="F7F4EE"/>
          </w:tcPr>
          <w:p>
            <w:pPr>
              <w:keepNext/>
              <w:spacing w:after="20"/>
            </w:pPr>
            <w:r>
              <w:rPr>
                <w:b w:val="0"/>
                <w:i w:val="0"/>
                <w:sz w:val="18"/>
              </w:rPr>
              <w:t>Préstamo bancario pre-aprobado</w:t>
            </w:r>
          </w:p>
        </w:tc>
        <w:tc>
          <w:tcPr>
            <w:tcW w:type="dxa" w:w="1814"/>
            <w:shd w:val="clear" w:color="auto" w:fill="F7F4EE"/>
          </w:tcPr>
          <w:p>
            <w:pPr>
              <w:keepNext/>
              <w:spacing w:after="20"/>
            </w:pPr>
            <w:r>
              <w:rPr>
                <w:b w:val="0"/>
                <w:i w:val="0"/>
                <w:sz w:val="18"/>
              </w:rPr>
              <w:t>1.000.000.000, menos la seña si se conviene</w:t>
            </w:r>
          </w:p>
        </w:tc>
        <w:tc>
          <w:tcPr>
            <w:tcW w:type="dxa" w:w="964"/>
            <w:shd w:val="clear" w:color="auto" w:fill="F7F4EE"/>
          </w:tcPr>
          <w:p>
            <w:pPr>
              <w:keepNext/>
              <w:spacing w:after="20"/>
            </w:pPr>
            <w:r>
              <w:rPr>
                <w:b w:val="0"/>
                <w:i w:val="0"/>
                <w:sz w:val="18"/>
              </w:rPr>
              <w:t>Gs</w:t>
            </w:r>
          </w:p>
        </w:tc>
        <w:tc>
          <w:tcPr>
            <w:tcW w:type="dxa" w:w="2154"/>
            <w:shd w:val="clear" w:color="auto" w:fill="F7F4EE"/>
          </w:tcPr>
          <w:p>
            <w:pPr>
              <w:keepNext/>
              <w:spacing w:after="20"/>
            </w:pPr>
            <w:r>
              <w:rPr>
                <w:b w:val="0"/>
                <w:i w:val="0"/>
                <w:sz w:val="18"/>
              </w:rPr>
              <w:t>Firma de la escritura, en el plazo que defina el banco</w:t>
            </w:r>
          </w:p>
        </w:tc>
        <w:tc>
          <w:tcPr>
            <w:tcW w:type="dxa" w:w="2154"/>
            <w:shd w:val="clear" w:color="auto" w:fill="F7F4EE"/>
          </w:tcPr>
          <w:p>
            <w:pPr>
              <w:keepNext/>
              <w:spacing w:after="20"/>
            </w:pPr>
            <w:r>
              <w:rPr>
                <w:b w:val="0"/>
                <w:i w:val="0"/>
                <w:sz w:val="18"/>
              </w:rPr>
              <w:t>Sujeto a la aprobación definitiva del préstamo</w:t>
            </w:r>
          </w:p>
        </w:tc>
      </w:tr>
      <w:tr>
        <w:trPr>
          <w:cantSplit/>
        </w:trPr>
        <w:tc>
          <w:tcPr>
            <w:tcW w:type="dxa" w:w="2211"/>
          </w:tcPr>
          <w:p>
            <w:pPr>
              <w:keepNext w:val="0"/>
              <w:spacing w:after="20"/>
            </w:pPr>
            <w:r>
              <w:rPr>
                <w:b/>
                <w:i w:val="0"/>
                <w:color w:val="14313A"/>
                <w:sz w:val="18"/>
              </w:rPr>
              <w:t>Total</w:t>
            </w:r>
          </w:p>
        </w:tc>
        <w:tc>
          <w:tcPr>
            <w:tcW w:type="dxa" w:w="1814"/>
          </w:tcPr>
          <w:p>
            <w:pPr>
              <w:keepNext w:val="0"/>
              <w:spacing w:after="20"/>
            </w:pPr>
            <w:r>
              <w:rPr>
                <w:b/>
                <w:i w:val="0"/>
                <w:color w:val="14313A"/>
                <w:sz w:val="18"/>
              </w:rPr>
              <w:t>1.000.000.000</w:t>
            </w:r>
          </w:p>
        </w:tc>
        <w:tc>
          <w:tcPr>
            <w:tcW w:type="dxa" w:w="964"/>
          </w:tcPr>
          <w:p>
            <w:pPr>
              <w:keepNext w:val="0"/>
              <w:spacing w:after="20"/>
            </w:pPr>
            <w:r>
              <w:rPr>
                <w:b/>
                <w:i w:val="0"/>
                <w:color w:val="14313A"/>
                <w:sz w:val="18"/>
              </w:rPr>
              <w:t>Gs</w:t>
            </w:r>
          </w:p>
        </w:tc>
        <w:tc>
          <w:tcPr>
            <w:tcW w:type="dxa" w:w="2154"/>
          </w:tcPr>
          <w:p>
            <w:pPr>
              <w:keepNext w:val="0"/>
              <w:spacing w:after="20"/>
            </w:pPr>
          </w:p>
        </w:tc>
        <w:tc>
          <w:tcPr>
            <w:tcW w:type="dxa" w:w="2154"/>
          </w:tcPr>
          <w:p>
            <w:pPr>
              <w:keepNext w:val="0"/>
              <w:spacing w:after="20"/>
            </w:pPr>
          </w:p>
        </w:tc>
      </w:tr>
    </w:tbl>
    <w:p>
      <w:pPr>
        <w:spacing w:after="0"/>
      </w:pPr>
    </w:p>
    <w:p>
      <w:pPr>
        <w:jc w:val="both"/>
      </w:pPr>
      <w:r>
        <w:rPr>
          <w:b w:val="0"/>
          <w:i w:val="0"/>
          <w:sz w:val="19"/>
        </w:rPr>
        <w:t>En caso de convenirse una seña, su importe, forma de pago, receptor y condiciones de devolución o retención se acordarán por escrito entre las partes antes de su entrega.</w:t>
      </w:r>
    </w:p>
    <w:p>
      <w:pPr>
        <w:keepNext/>
        <w:spacing w:after="60" w:before="80"/>
      </w:pPr>
      <w:r>
        <w:rPr>
          <w:rFonts w:ascii="Cambria" w:hAnsi="Cambria"/>
          <w:b w:val="0"/>
          <w:i w:val="0"/>
          <w:color w:val="14313A"/>
          <w:sz w:val="24"/>
        </w:rPr>
        <w:t>Condiciones de la oferta</w:t>
      </w:r>
    </w:p>
    <w:p>
      <w:pPr>
        <w:spacing w:after="80"/>
        <w:ind w:left="340" w:hanging="340"/>
        <w:jc w:val="both"/>
      </w:pPr>
      <w:r>
        <w:rPr>
          <w:b w:val="0"/>
          <w:i w:val="0"/>
          <w:color w:val="14313A"/>
        </w:rPr>
        <w:t xml:space="preserve">1.  </w:t>
      </w:r>
      <w:r>
        <w:rPr>
          <w:b/>
          <w:i w:val="0"/>
        </w:rPr>
        <w:t xml:space="preserve">Financiación. </w:t>
      </w:r>
      <w:r>
        <w:rPr>
          <w:b w:val="0"/>
          <w:i w:val="0"/>
        </w:rPr>
        <w:t>La compra se financia en su totalidad con un préstamo bancario en guaraníes pre-aprobado a favor de la compradora, y queda sujeta a la aprobación definitiva de dicho préstamo por la entidad financiera.</w:t>
      </w:r>
    </w:p>
    <w:p>
      <w:pPr>
        <w:spacing w:after="80"/>
        <w:ind w:left="340" w:hanging="340"/>
        <w:jc w:val="both"/>
      </w:pPr>
      <w:r>
        <w:rPr>
          <w:b w:val="0"/>
          <w:i w:val="0"/>
          <w:color w:val="14313A"/>
        </w:rPr>
        <w:t xml:space="preserve">2.  </w:t>
      </w:r>
      <w:r>
        <w:rPr>
          <w:b/>
          <w:i w:val="0"/>
        </w:rPr>
        <w:t xml:space="preserve">Escritura. </w:t>
      </w:r>
      <w:r>
        <w:rPr>
          <w:b w:val="0"/>
          <w:i w:val="0"/>
        </w:rPr>
        <w:t>La escritura pública traslativa de dominio se otorgará en el plazo que establezca la entidad financiera para el desembolso del préstamo.</w:t>
      </w:r>
    </w:p>
    <w:p>
      <w:pPr>
        <w:spacing w:after="80"/>
        <w:ind w:left="340" w:hanging="340"/>
        <w:jc w:val="both"/>
      </w:pPr>
      <w:r>
        <w:rPr>
          <w:b w:val="0"/>
          <w:i w:val="0"/>
          <w:color w:val="14313A"/>
        </w:rPr>
        <w:t xml:space="preserve">3.  </w:t>
      </w:r>
      <w:r>
        <w:rPr>
          <w:b/>
          <w:i w:val="0"/>
        </w:rPr>
        <w:t xml:space="preserve">Entrega de la posesión. </w:t>
      </w:r>
      <w:r>
        <w:rPr>
          <w:b w:val="0"/>
          <w:i w:val="0"/>
        </w:rPr>
        <w:t>La posesión del inmueble se entregará a la compradora contra la cancelación total del precio.</w:t>
      </w:r>
    </w:p>
    <w:p>
      <w:pPr>
        <w:spacing w:after="80"/>
        <w:ind w:left="340" w:hanging="340"/>
        <w:jc w:val="both"/>
      </w:pPr>
      <w:r>
        <w:rPr>
          <w:b w:val="0"/>
          <w:i w:val="0"/>
          <w:color w:val="14313A"/>
        </w:rPr>
        <w:t xml:space="preserve">4.  </w:t>
      </w:r>
      <w:r>
        <w:rPr>
          <w:b/>
          <w:i w:val="0"/>
        </w:rPr>
        <w:t xml:space="preserve">Gastos de escritura. </w:t>
      </w:r>
      <w:r>
        <w:rPr>
          <w:b w:val="0"/>
          <w:i w:val="0"/>
        </w:rPr>
        <w:t>Los gastos de escrituración estarán a cargo de la compradora.</w:t>
      </w:r>
    </w:p>
    <w:p>
      <w:pPr>
        <w:spacing w:after="80"/>
        <w:ind w:left="340" w:hanging="340"/>
        <w:jc w:val="both"/>
      </w:pPr>
      <w:r>
        <w:rPr>
          <w:b w:val="0"/>
          <w:i w:val="0"/>
          <w:color w:val="14313A"/>
        </w:rPr>
        <w:t xml:space="preserve">5.  </w:t>
      </w:r>
      <w:r>
        <w:rPr>
          <w:b/>
          <w:i w:val="0"/>
        </w:rPr>
        <w:t xml:space="preserve">Impuestos y comisión. </w:t>
      </w:r>
      <w:r>
        <w:rPr>
          <w:b w:val="0"/>
          <w:i w:val="0"/>
        </w:rPr>
        <w:t>El impuesto a las transacciones y el IVA que correspondan a la venta, así como la comisión de intermediación, estarán a cargo de la parte vendedora.</w:t>
      </w:r>
    </w:p>
    <w:p>
      <w:pPr>
        <w:keepNext/>
        <w:spacing w:after="60" w:before="80"/>
      </w:pPr>
      <w:r>
        <w:rPr>
          <w:rFonts w:ascii="Cambria" w:hAnsi="Cambria"/>
          <w:b w:val="0"/>
          <w:i w:val="0"/>
          <w:color w:val="14313A"/>
          <w:sz w:val="24"/>
        </w:rPr>
        <w:t>Vigencia, respuesta y alcance</w:t>
      </w:r>
    </w:p>
    <w:p>
      <w:pPr>
        <w:jc w:val="both"/>
      </w:pPr>
      <w:r>
        <w:rPr>
          <w:b w:val="0"/>
          <w:i w:val="0"/>
        </w:rPr>
        <w:t>La presente oferta tendrá una vigencia de 7 (siete) días corridos contados desde la fecha de su presentación, consignada en la constancia de recepción adjunta. Vencido dicho plazo sin aceptación expresa por escrito, la oferta quedará sin efecto. La parte vendedora comunicará su respuesta por escrito, mediante el formulario de respuesta adjunto a la presente.</w:t>
      </w:r>
    </w:p>
    <w:p>
      <w:pPr>
        <w:jc w:val="both"/>
      </w:pPr>
      <w:r>
        <w:rPr>
          <w:b w:val="0"/>
          <w:i w:val="0"/>
        </w:rPr>
        <w:t>La aceptación por escrito de la presente oferta expresa la conformidad de la parte vendedora con el precio y las condiciones aquí detallados. La compraventa quedará sujeta a la aprobación definitiva del préstamo bancario y se instrumentará mediante la escritura pública correspondiente.</w:t>
      </w:r>
    </w:p>
    <w:p>
      <w:pPr>
        <w:keepNext/>
        <w:jc w:val="both"/>
      </w:pPr>
      <w:r>
        <w:rPr>
          <w:b w:val="0"/>
          <w:i w:val="0"/>
        </w:rPr>
        <w:t>Meridiano Capital interviene como inmobiliaria captadora del lado de la parte vendedora, a través de Juan José Castillo, en su carácter de broker inmobiliario, en la presentación y canalización de esta oferta. Supremo EAS interviene como inmobiliaria colocadora, a través de su agente Mario Luis Dávalos Díaz. Ninguna de las inmobiliarias intervinientes está facultada, por su sola intervención, para aceptar la oferta en nombre de la parte vendedora, firmar por la oferente ni recibir fondos.</w:t>
      </w:r>
    </w:p>
    <w:p>
      <w:pPr>
        <w:keepNext/>
      </w:pPr>
      <w:r>
        <w:rPr>
          <w:b w:val="0"/>
          <w:i w:val="0"/>
        </w:rPr>
        <w:t>Sin otro particular y aguardando una respuesta favorable, saludamos atentamente.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4649"/>
        <w:gridCol w:w="4649"/>
      </w:tblGrid>
      <w:tr>
        <w:trPr>
          <w:cantSplit/>
        </w:trPr>
        <w:tc>
          <w:tcPr>
            <w:tcW w:type="dxa" w:w="4649"/>
          </w:tcPr>
          <w:p>
            <w:pPr>
              <w:spacing w:before="840"/>
              <w:jc w:val="center"/>
            </w:pPr>
            <w:r>
              <w:rPr>
                <w:b w:val="0"/>
                <w:i w:val="0"/>
                <w:color w:val="6B6154"/>
              </w:rPr>
              <w:t>______________________________</w:t>
            </w:r>
          </w:p>
          <w:p>
            <w:pPr>
              <w:spacing w:after="0"/>
              <w:jc w:val="center"/>
            </w:pPr>
            <w:r>
              <w:rPr>
                <w:b/>
                <w:i w:val="0"/>
                <w:color w:val="14313A"/>
              </w:rPr>
              <w:t>Ana Liesel Guggiari Niederberger</w:t>
            </w:r>
          </w:p>
          <w:p>
            <w:pPr>
              <w:spacing w:after="0"/>
              <w:jc w:val="center"/>
            </w:pPr>
            <w:r>
              <w:rPr>
                <w:b w:val="0"/>
                <w:i w:val="0"/>
                <w:color w:val="6B6154"/>
                <w:sz w:val="18"/>
              </w:rPr>
              <w:t>C.I. N° 3.209.470</w:t>
            </w:r>
          </w:p>
          <w:p>
            <w:pPr>
              <w:spacing w:after="0"/>
              <w:jc w:val="center"/>
            </w:pPr>
            <w:r>
              <w:rPr>
                <w:b w:val="0"/>
                <w:i w:val="0"/>
                <w:color w:val="6B6154"/>
                <w:sz w:val="18"/>
              </w:rPr>
              <w:t>Oferente / compradora</w:t>
            </w:r>
          </w:p>
        </w:tc>
        <w:tc>
          <w:tcPr>
            <w:tcW w:type="dxa" w:w="4649"/>
          </w:tcPr>
          <w:p>
            <w:pPr>
              <w:spacing w:before="840"/>
              <w:jc w:val="center"/>
            </w:pPr>
            <w:r>
              <w:rPr>
                <w:b w:val="0"/>
                <w:i w:val="0"/>
                <w:color w:val="6B6154"/>
              </w:rPr>
              <w:t>______________________________</w:t>
            </w:r>
          </w:p>
          <w:p>
            <w:pPr>
              <w:spacing w:after="0"/>
              <w:jc w:val="center"/>
            </w:pPr>
            <w:r>
              <w:rPr>
                <w:b/>
                <w:i w:val="0"/>
                <w:color w:val="14313A"/>
              </w:rPr>
              <w:t>Lic. Juan José Castillo</w:t>
            </w:r>
          </w:p>
          <w:p>
            <w:pPr>
              <w:spacing w:after="0"/>
              <w:jc w:val="center"/>
            </w:pPr>
            <w:r>
              <w:rPr>
                <w:b w:val="0"/>
                <w:i w:val="0"/>
                <w:color w:val="6B6154"/>
                <w:sz w:val="18"/>
              </w:rPr>
              <w:t>Broker inmobiliario</w:t>
            </w:r>
          </w:p>
          <w:p>
            <w:pPr>
              <w:spacing w:after="0"/>
              <w:jc w:val="center"/>
            </w:pPr>
            <w:r>
              <w:rPr>
                <w:b/>
                <w:i w:val="0"/>
                <w:color w:val="A87D22"/>
                <w:sz w:val="18"/>
              </w:rPr>
              <w:t>MERIDIANO CAPITAL</w:t>
            </w:r>
          </w:p>
        </w:tc>
      </w:tr>
    </w:tbl>
    <w:p>
      <w:pPr>
        <w:pageBreakBefore/>
        <w:spacing w:after="40"/>
        <w:pBdr>
          <w:bottom w:val="single" w:sz="6" w:space="4" w:color="DAD2C0"/>
        </w:pBdr>
      </w:pPr>
      <w:r>
        <w:rPr>
          <w:rFonts w:ascii="Cambria" w:hAnsi="Cambria"/>
          <w:b w:val="0"/>
          <w:i w:val="0"/>
          <w:color w:val="14313A"/>
          <w:sz w:val="26"/>
        </w:rPr>
        <w:t>Constancia de recepción</w:t>
      </w:r>
    </w:p>
    <w:p>
      <w:r>
        <w:rPr>
          <w:b w:val="0"/>
          <w:i w:val="0"/>
          <w:sz w:val="20"/>
        </w:rPr>
        <w:t>Recibí copia de esta oferta. Esta constancia acredita únicamente la recepción y no implica aceptación. La fecha consignada aquí es la fecha de presentación a partir de la cual corre la vigencia.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F7F4EE"/>
          </w:tcPr>
          <w:p>
            <w:pPr>
              <w:keepNext/>
              <w:spacing w:after="40" w:before="40"/>
            </w:pPr>
            <w:r>
              <w:rPr>
                <w:b/>
                <w:i w:val="0"/>
                <w:color w:val="14313A"/>
                <w:sz w:val="18"/>
              </w:rPr>
              <w:t>FECHA Y HORA DE RECEPCIÓN</w:t>
            </w:r>
          </w:p>
        </w:tc>
        <w:tc>
          <w:tcPr>
            <w:tcW w:type="dxa" w:w="6350"/>
          </w:tcPr>
          <w:p>
            <w:pPr>
              <w:keepNext/>
              <w:spacing w:after="40" w:before="40"/>
            </w:pPr>
            <w:r>
              <w:rPr>
                <w:b w:val="0"/>
                <w:i w:val="0"/>
                <w:sz w:val="19"/>
              </w:rPr>
              <w:t>____ / ____ / ______  ·  ____ : ____ hs (hora de Asunción)</w:t>
            </w:r>
          </w:p>
        </w:tc>
      </w:tr>
      <w:tr>
        <w:trPr>
          <w:cantSplit/>
        </w:trPr>
        <w:tc>
          <w:tcPr>
            <w:tcW w:type="dxa" w:w="2948"/>
            <w:shd w:val="clear" w:color="auto" w:fill="F7F4EE"/>
          </w:tcPr>
          <w:p>
            <w:pPr>
              <w:keepNext/>
              <w:spacing w:after="40" w:before="40"/>
            </w:pPr>
            <w:r>
              <w:rPr>
                <w:b/>
                <w:i w:val="0"/>
                <w:color w:val="14313A"/>
                <w:sz w:val="18"/>
              </w:rPr>
              <w:t>FIRMA</w:t>
            </w:r>
          </w:p>
        </w:tc>
        <w:tc>
          <w:tcPr>
            <w:tcW w:type="dxa" w:w="6350"/>
          </w:tcPr>
          <w:p>
            <w:pPr>
              <w:keepNext/>
              <w:spacing w:after="40" w:before="40"/>
            </w:pPr>
          </w:p>
        </w:tc>
      </w:tr>
      <w:tr>
        <w:trPr>
          <w:cantSplit/>
        </w:trPr>
        <w:tc>
          <w:tcPr>
            <w:tcW w:type="dxa" w:w="2948"/>
            <w:shd w:val="clear" w:color="auto" w:fill="F7F4EE"/>
          </w:tcPr>
          <w:p>
            <w:pPr>
              <w:keepNext w:val="0"/>
              <w:spacing w:after="40" w:before="40"/>
            </w:pPr>
            <w:r>
              <w:rPr>
                <w:b/>
                <w:i w:val="0"/>
                <w:color w:val="14313A"/>
                <w:sz w:val="18"/>
              </w:rPr>
              <w:t>ACLARACIÓN Y DOCUMENTO</w:t>
            </w:r>
          </w:p>
        </w:tc>
        <w:tc>
          <w:tcPr>
            <w:tcW w:type="dxa" w:w="6350"/>
          </w:tcPr>
          <w:p>
            <w:pPr>
              <w:keepNext w:val="0"/>
              <w:spacing w:after="40" w:before="40"/>
            </w:pPr>
          </w:p>
        </w:tc>
      </w:tr>
    </w:tbl>
    <w:p>
      <w:pPr>
        <w:spacing w:after="0"/>
      </w:pPr>
    </w:p>
    <w:p>
      <w:pPr>
        <w:spacing w:after="40" w:before="160"/>
        <w:pBdr>
          <w:bottom w:val="single" w:sz="6" w:space="4" w:color="DAD2C0"/>
        </w:pBdr>
      </w:pPr>
      <w:r>
        <w:rPr>
          <w:rFonts w:ascii="Cambria" w:hAnsi="Cambria"/>
          <w:b w:val="0"/>
          <w:i w:val="0"/>
          <w:color w:val="14313A"/>
          <w:sz w:val="26"/>
        </w:rPr>
        <w:t>Respuesta de la parte vendedora</w:t>
      </w:r>
    </w:p>
    <w:p>
      <w:r>
        <w:rPr>
          <w:b w:val="0"/>
          <w:i w:val="0"/>
          <w:sz w:val="20"/>
        </w:rPr>
        <w:t>Marcar una sola opción:</w:t>
      </w:r>
    </w:p>
    <w:p>
      <w:pPr>
        <w:spacing w:after="60"/>
      </w:pPr>
      <w:r>
        <w:rPr>
          <w:b w:val="0"/>
          <w:i w:val="0"/>
        </w:rPr>
        <w:t>☐  Acepto íntegramente la oferta en los términos de esta carta.</w:t>
      </w:r>
    </w:p>
    <w:p>
      <w:pPr>
        <w:spacing w:after="60"/>
      </w:pPr>
      <w:r>
        <w:rPr>
          <w:b w:val="0"/>
          <w:i w:val="0"/>
        </w:rPr>
        <w:t>☐  Rechazo la oferta.</w:t>
      </w:r>
    </w:p>
    <w:p>
      <w:pPr>
        <w:spacing w:after="60"/>
      </w:pPr>
      <w:r>
        <w:rPr>
          <w:b w:val="0"/>
          <w:i w:val="0"/>
        </w:rPr>
        <w:t>☐  Formulo la siguiente contraoferta (una contraoferta no implica aceptación de los términos originales):</w:t>
      </w:r>
    </w:p>
    <w:tbl>
      <w:tblPr>
        <w:tblW w:type="auto" w:w="0"/>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9298"/>
      </w:tblGrid>
      <w:tr>
        <w:trPr>
          <w:trHeight w:val="1474"/>
        </w:trPr>
        <w:tc>
          <w:tcPr>
            <w:tcW w:type="dxa" w:w="9298"/>
          </w:tcPr>
          <w:p/>
        </w:tc>
      </w:tr>
    </w:tbl>
    <w:p>
      <w:pPr>
        <w:spacing w:after="0"/>
      </w:pPr>
    </w:p>
    <w:p>
      <w:pPr>
        <w:jc w:val="both"/>
      </w:pPr>
      <w:r>
        <w:rPr>
          <w:b w:val="0"/>
          <w:i w:val="0"/>
          <w:sz w:val="20"/>
        </w:rPr>
        <w:t>En caso de aceptación, la parte vendedora reconoce la intervención de Meridiano Capital y de Supremo EAS en esta operación y asume el pago de la comisión de intermediación del cinco coma cinco por ciento (5,5 %), IVA incluido, sobre el precio de venta, equivalente a Gs 55.000.000 (cincuenta y cinco millones de guaraníes), así como el impuesto a las transacciones y el IVA que correspondan a la venta.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F7F4EE"/>
          </w:tcPr>
          <w:p>
            <w:pPr>
              <w:keepNext/>
              <w:spacing w:after="40" w:before="40"/>
            </w:pPr>
            <w:r>
              <w:rPr>
                <w:b/>
                <w:i w:val="0"/>
                <w:color w:val="14313A"/>
                <w:sz w:val="18"/>
              </w:rPr>
              <w:t>FIRMA</w:t>
            </w:r>
          </w:p>
        </w:tc>
        <w:tc>
          <w:tcPr>
            <w:tcW w:type="dxa" w:w="6350"/>
          </w:tcPr>
          <w:p>
            <w:pPr>
              <w:keepNext/>
              <w:spacing w:after="40" w:before="40"/>
            </w:pPr>
          </w:p>
        </w:tc>
      </w:tr>
      <w:tr>
        <w:trPr>
          <w:cantSplit/>
        </w:trPr>
        <w:tc>
          <w:tcPr>
            <w:tcW w:type="dxa" w:w="2948"/>
            <w:shd w:val="clear" w:color="auto" w:fill="F7F4EE"/>
          </w:tcPr>
          <w:p>
            <w:pPr>
              <w:keepNext/>
              <w:spacing w:after="40" w:before="40"/>
            </w:pPr>
            <w:r>
              <w:rPr>
                <w:b/>
                <w:i w:val="0"/>
                <w:color w:val="14313A"/>
                <w:sz w:val="18"/>
              </w:rPr>
              <w:t>ACLARACIÓN Y C.I. N°</w:t>
            </w:r>
          </w:p>
        </w:tc>
        <w:tc>
          <w:tcPr>
            <w:tcW w:type="dxa" w:w="6350"/>
          </w:tcPr>
          <w:p>
            <w:pPr>
              <w:keepNext/>
              <w:spacing w:after="40" w:before="40"/>
            </w:pPr>
          </w:p>
        </w:tc>
      </w:tr>
      <w:tr>
        <w:trPr>
          <w:cantSplit/>
        </w:trPr>
        <w:tc>
          <w:tcPr>
            <w:tcW w:type="dxa" w:w="2948"/>
            <w:shd w:val="clear" w:color="auto" w:fill="F7F4EE"/>
          </w:tcPr>
          <w:p>
            <w:pPr>
              <w:keepNext w:val="0"/>
              <w:spacing w:after="40" w:before="40"/>
            </w:pPr>
            <w:r>
              <w:rPr>
                <w:b/>
                <w:i w:val="0"/>
                <w:color w:val="14313A"/>
                <w:sz w:val="18"/>
              </w:rPr>
              <w:t>FECHA Y HORA</w:t>
            </w:r>
          </w:p>
        </w:tc>
        <w:tc>
          <w:tcPr>
            <w:tcW w:type="dxa" w:w="6350"/>
          </w:tcPr>
          <w:p>
            <w:pPr>
              <w:keepNext w:val="0"/>
              <w:spacing w:after="40" w:before="40"/>
            </w:pPr>
            <w:r>
              <w:rPr>
                <w:b w:val="0"/>
                <w:i w:val="0"/>
                <w:sz w:val="19"/>
              </w:rPr>
              <w:t>____ / ____ / ______  ·  ____ : ____ hs (hora de Asunción)</w:t>
            </w:r>
          </w:p>
        </w:tc>
      </w:tr>
    </w:tbl>
    <w:p>
      <w:pPr>
        <w:spacing w:after="0"/>
      </w:pPr>
    </w:p>
    <w:sectPr w:rsidR="00FC693F" w:rsidRPr="0006063C" w:rsidSect="00034616">
      <w:headerReference w:type="default" r:id="rId9"/>
      <w:footerReference w:type="default" r:id="rId10"/>
      <w:pgSz w:w="11906" w:h="16838"/>
      <w:pgMar w:top="2041" w:right="1304" w:bottom="1247"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DAD2C0"/>
      </w:pBdr>
    </w:pPr>
    <w:r>
      <w:rPr>
        <w:b w:val="0"/>
        <w:i w:val="0"/>
        <w:color w:val="6B6154"/>
        <w:sz w:val="16"/>
      </w:rPr>
      <w:t>Meridiano Capital · Asunción, Paraguay · meridianocapital.net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C9982E"/>
      </w:pBdr>
    </w:pPr>
    <w:r>
      <w:drawing>
        <wp:inline xmlns:a="http://schemas.openxmlformats.org/drawingml/2006/main" xmlns:pic="http://schemas.openxmlformats.org/drawingml/2006/picture">
          <wp:extent cx="2708464" cy="720000"/>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1"/>
                  <a:stretch>
                    <a:fillRect/>
                  </a:stretch>
                </pic:blipFill>
                <pic:spPr>
                  <a:xfrm>
                    <a:off x="0" y="0"/>
                    <a:ext cx="2708464" cy="72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