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t xml:space="preserve">[Ciudad], [día] de [mes] de 2026</w:t>
      </w:r>
    </w:p>
    <w:p>
      <w:pPr>
        <w:spacing w:after="0"/>
      </w:pPr>
      <w:r>
        <w:t xml:space="preserve">Señores</w:t>
      </w:r>
    </w:p>
    <w:p>
      <w:pPr>
        <w:spacing w:after="0"/>
      </w:pPr>
      <w:r>
        <w:rPr>
          <w:b/>
          <w:bCs/>
        </w:rPr>
        <w:t xml:space="preserve">Unidad Administrativa Especial Fondo Nacional de Estupefacientes (FNE)</w:t>
      </w:r>
    </w:p>
    <w:p>
      <w:pPr>
        <w:spacing w:after="0"/>
      </w:pPr>
      <w:r>
        <w:t xml:space="preserve">Ministerio de Salud y Protección Social</w:t>
      </w:r>
    </w:p>
    <w:p>
      <w:pPr>
        <w:spacing w:after="0"/>
      </w:pPr>
      <w:r>
        <w:t xml:space="preserve">Calle 25D n.º 100-12, barrio La Rosita, Fontibón, Bogotá D.C.</w:t>
      </w:r>
    </w:p>
    <w:p>
      <w:pPr>
        <w:spacing w:after="320"/>
      </w:pPr>
      <w:r>
        <w:t xml:space="preserve">fne@minsalud.gov.co · copia a correo@minsalud.gov.co</w:t>
      </w:r>
    </w:p>
    <w:p>
      <w:pPr>
        <w:spacing w:after="320"/>
        <w:jc w:val="both"/>
      </w:pPr>
      <w:r>
        <w:rPr>
          <w:b/>
          <w:bCs/>
        </w:rPr>
        <w:t xml:space="preserve">Asunto:</w:t>
      </w:r>
      <w:r>
        <w:t xml:space="preserve"> Derecho de petición de información y consulta sobre el estado actual y la situación jurídica de la psilocibina, la psilocina y los hongos que las contienen, y sobre los requisitos para su uso con fines de investigación científica.</w:t>
      </w:r>
    </w:p>
    <w:p>
      <w:pPr>
        <w:spacing w:after="160"/>
        <w:jc w:val="both"/>
      </w:pPr>
      <w:r>
        <w:t xml:space="preserve">[Nombre completo], identificado con cédula de ciudadanía n.º [número], actuando en nombre propio, presento ante el Fondo Nacional de Estupefacientes el siguiente derecho de petición.</w:t>
      </w:r>
    </w:p>
    <w:p>
      <w:pPr>
        <w:pStyle w:val="Heading1"/>
      </w:pPr>
      <w:r>
        <w:t xml:space="preserve">Fundamento</w:t>
      </w:r>
    </w:p>
    <w:p>
      <w:pPr>
        <w:spacing w:after="160"/>
        <w:jc w:val="both"/>
      </w:pPr>
      <w:r>
        <w:t xml:space="preserve">Presento esta petición con base en el artículo 23 de la Constitución Política, según el cual "toda persona tiene derecho a presentar peticiones respetuosas a las autoridades por motivos de interés general o particular y a obtener pronta resolución". También me apoyo en la Ley 1755 de 2015, que sustituyó el Título II de la Ley 1437 de 2011.</w:t>
      </w:r>
    </w:p>
    <w:p>
      <w:pPr>
        <w:spacing w:after="160"/>
        <w:jc w:val="both"/>
      </w:pPr>
      <w:r>
        <w:t xml:space="preserve">La petición combina dos modalidades del artículo 14 de esa ley:</w:t>
      </w:r>
    </w:p>
    <w:p>
      <w:pPr>
        <w:pStyle w:val="ListParagraph"/>
        <w:numPr>
          <w:ilvl w:val="0"/>
          <w:numId w:val="2"/>
        </w:numPr>
        <w:spacing w:after="120"/>
        <w:jc w:val="both"/>
      </w:pPr>
      <w:r>
        <w:rPr>
          <w:b/>
          <w:bCs/>
        </w:rPr>
        <w:t xml:space="preserve">Solicitud de información y documentos</w:t>
      </w:r>
      <w:r>
        <w:t xml:space="preserve"> (numeral 1 del artículo 14), con término de diez (10) días: preguntas 27 a 30.</w:t>
      </w:r>
    </w:p>
    <w:p>
      <w:pPr>
        <w:pStyle w:val="ListParagraph"/>
        <w:numPr>
          <w:ilvl w:val="0"/>
          <w:numId w:val="2"/>
        </w:numPr>
        <w:spacing w:after="120"/>
        <w:jc w:val="both"/>
      </w:pPr>
      <w:r>
        <w:rPr>
          <w:b/>
          <w:bCs/>
        </w:rPr>
        <w:t xml:space="preserve">Consulta</w:t>
      </w:r>
      <w:r>
        <w:t xml:space="preserve"> sobre materias a cargo del FNE (numeral 2 del artículo 14), con término de treinta (30) días: las demás preguntas.</w:t>
      </w:r>
    </w:p>
    <w:p>
      <w:pPr>
        <w:spacing w:after="160"/>
        <w:jc w:val="both"/>
      </w:pPr>
      <w:r>
        <w:t xml:space="preserve">Si no es posible responder dentro de esos plazos, solicito que se me informe antes de su vencimiento, como lo exige el parágrafo del artículo 14.</w:t>
      </w:r>
    </w:p>
    <w:p>
      <w:pPr>
        <w:spacing w:after="160"/>
        <w:jc w:val="both"/>
      </w:pPr>
      <w:r>
        <w:t xml:space="preserve">La competencia del FNE se funda en el artículo 20 del Decreto 205 de 2003, ratificado por el artículo 26 del Decreto 4107 de 2011. Según esas normas, su objetivo es "la vigilancia y control sobre la importación, la exportación, la distribución y venta de drogas, medicamentos, materias primas o precursores de control especial a que se refiere la Ley 30 de 1986".</w:t>
      </w:r>
    </w:p>
    <w:p>
      <w:pPr>
        <w:pStyle w:val="Heading1"/>
      </w:pPr>
      <w:r>
        <w:t xml:space="preserve">Hechos</w:t>
      </w:r>
    </w:p>
    <w:p>
      <w:pPr>
        <w:pStyle w:val="ListParagraph"/>
        <w:numPr>
          <w:ilvl w:val="0"/>
          <w:numId w:val="3"/>
        </w:numPr>
        <w:spacing w:after="120"/>
        <w:jc w:val="both"/>
      </w:pPr>
      <w:r>
        <w:t xml:space="preserve">Tengo interés en conocer el estado actual y la situación jurídica de la psilocibina, la psilocina y los hongos que las contienen en Colombia, en especial las condiciones en que pueden usarse con fines de investigación científica.</w:t>
      </w:r>
    </w:p>
    <w:p>
      <w:pPr>
        <w:pStyle w:val="ListParagraph"/>
        <w:numPr>
          <w:ilvl w:val="0"/>
          <w:numId w:val="3"/>
        </w:numPr>
        <w:spacing w:after="120"/>
        <w:jc w:val="both"/>
      </w:pPr>
      <w:r>
        <w:t xml:space="preserve">La psilocibina y la psilocina figuran en la Lista I del Convenio sobre Sustancias Sicotrópicas de 1971, aprobado por la Ley 43 de 1980. En el Anexo Técnico 1 vigente, reemplazado por la Resolución 116 de 2026, aparecen con los números 407 y 408 como "Lista Verde / Lista I".</w:t>
      </w:r>
    </w:p>
    <w:p>
      <w:pPr>
        <w:pStyle w:val="ListParagraph"/>
        <w:numPr>
          <w:ilvl w:val="0"/>
          <w:numId w:val="3"/>
        </w:numPr>
        <w:spacing w:after="120"/>
        <w:jc w:val="both"/>
      </w:pPr>
      <w:r>
        <w:t xml:space="preserve">El artículo 3 de la Ley 30 de 1986 limita la producción, importación, distribución, uso y posesión de estupefacientes a "los fines médicos y científicos".</w:t>
      </w:r>
    </w:p>
    <w:p>
      <w:pPr>
        <w:pStyle w:val="ListParagraph"/>
        <w:numPr>
          <w:ilvl w:val="0"/>
          <w:numId w:val="3"/>
        </w:numPr>
        <w:spacing w:after="120"/>
        <w:jc w:val="both"/>
      </w:pPr>
      <w:r>
        <w:t xml:space="preserve">El artículo 3 de la Resolución 315 de 2020 extiende la fiscalización "a las mezclas y productos que las contengan". Ante duda razonable, permite pedir un concepto técnico al FNE.</w:t>
      </w:r>
    </w:p>
    <w:p>
      <w:pPr>
        <w:pStyle w:val="ListParagraph"/>
        <w:numPr>
          <w:ilvl w:val="0"/>
          <w:numId w:val="3"/>
        </w:numPr>
        <w:spacing w:after="120"/>
        <w:jc w:val="both"/>
      </w:pPr>
      <w:r>
        <w:t xml:space="preserve">El artículo 11 de la misma resolución regula la inscripción para importar o comprar localmente sustancias fiscalizadas para investigación: materiales de referencia, reactivos o muestras.</w:t>
      </w:r>
    </w:p>
    <w:p>
      <w:pPr>
        <w:pStyle w:val="ListParagraph"/>
        <w:numPr>
          <w:ilvl w:val="0"/>
          <w:numId w:val="3"/>
        </w:numPr>
        <w:spacing w:after="120"/>
        <w:jc w:val="both"/>
      </w:pPr>
      <w:r>
        <w:t xml:space="preserve">La Política Nacional de Drogas 2023-2033 dispone que "se promoverá la investigación científica sobre las propiedades, potencialidades y usos lícitos" de sustancias "tales como [...] la psilocibina proveniente de los hongos".</w:t>
      </w:r>
    </w:p>
    <w:p>
      <w:pPr>
        <w:pStyle w:val="ListParagraph"/>
        <w:numPr>
          <w:ilvl w:val="0"/>
          <w:numId w:val="3"/>
        </w:numPr>
        <w:spacing w:after="120"/>
        <w:jc w:val="both"/>
      </w:pPr>
      <w:r>
        <w:t xml:space="preserve">No encontré información pública sobre inscripciones otorgadas por el FNE para investigar con psilocibina. Tampoco la encontré sobre el tratamiento regulatorio de los hongos que la contienen, sus esporas o su micelio.</w:t>
      </w:r>
    </w:p>
    <w:p>
      <w:pPr>
        <w:pStyle w:val="Heading1"/>
      </w:pPr>
      <w:r>
        <w:t xml:space="preserve">Peticiones</w:t>
      </w:r>
    </w:p>
    <w:p>
      <w:pPr>
        <w:spacing w:after="160"/>
        <w:jc w:val="both"/>
      </w:pPr>
      <w:r>
        <w:t xml:space="preserve">Solicito que el FNE responda de fondo, de forma clara y separada, cada una de las siguientes preguntas. Si alguna no es de su competencia, solicito que la remita a la autoridad competente, como lo ordena el artículo 21 de la Ley 1755 de 2015.</w:t>
      </w:r>
    </w:p>
    <w:p>
      <w:pPr>
        <w:pStyle w:val="Heading2"/>
      </w:pPr>
      <w:r>
        <w:t xml:space="preserve">A. Alcance del control sobre hongos, esporas y productos</w:t>
      </w:r>
    </w:p>
    <w:p>
      <w:pPr>
        <w:spacing w:after="160"/>
        <w:jc w:val="both"/>
      </w:pPr>
      <w:r>
        <w:rPr>
          <w:b/>
          <w:bCs/>
        </w:rPr>
        <w:t xml:space="preserve">1. </w:t>
      </w:r>
      <w:r>
        <w:t xml:space="preserve">En los términos del artículo 3 de la Resolución 315 de 2020, ¿la fiscalización de la psilocibina y la psilocina se extiende a los hongos que las contienen, en estado fresco, seco, pulverizado o en extracto, y a productos elaborados con ellos, como chocolates, cápsulas o infusiones? Si para responder se requiere el concepto técnico previsto en ese artículo, solicito que se me indiquen sus requisitos y el procedimiento para pedirlo.</w:t>
      </w:r>
    </w:p>
    <w:p>
      <w:pPr>
        <w:spacing w:after="160"/>
        <w:jc w:val="both"/>
      </w:pPr>
      <w:r>
        <w:rPr>
          <w:b/>
          <w:bCs/>
        </w:rPr>
        <w:t xml:space="preserve">2. </w:t>
      </w:r>
      <w:r>
        <w:t xml:space="preserve">¿Están fiscalizados las esporas, el micelio, los esclerocios ("trufas"), los cultivos líquidos y los kits o sustratos para cultivar especies que producen psilocibina? Si lo están, ¿qué autorización exige su tenencia, importación, compra o venta?</w:t>
      </w:r>
    </w:p>
    <w:p>
      <w:pPr>
        <w:spacing w:after="160"/>
        <w:jc w:val="both"/>
      </w:pPr>
      <w:r>
        <w:rPr>
          <w:b/>
          <w:bCs/>
        </w:rPr>
        <w:t xml:space="preserve">3. </w:t>
      </w:r>
      <w:r>
        <w:t xml:space="preserve">¿Existe una concentración mínima de psilocibina o psilocina por debajo de la cual una muestra o un producto no está fiscalizado? ¿Con qué método y con qué documento lo determina el FNE?</w:t>
      </w:r>
    </w:p>
    <w:p>
      <w:pPr>
        <w:spacing w:after="160"/>
        <w:jc w:val="both"/>
      </w:pPr>
      <w:r>
        <w:rPr>
          <w:b/>
          <w:bCs/>
        </w:rPr>
        <w:t xml:space="preserve">4. </w:t>
      </w:r>
      <w:r>
        <w:t xml:space="preserve">¿Qué entidad es competente para autorizar cada una de estas actividades con psilocibina u hongos que la contienen: tenencia en laboratorio, importación, síntesis o extracción, cultivo con fines científicos, análisis de muestras e investigación con personas?</w:t>
      </w:r>
    </w:p>
    <w:p>
      <w:pPr>
        <w:pStyle w:val="Heading2"/>
      </w:pPr>
      <w:r>
        <w:t xml:space="preserve">B. Quién puede inscribirse para investigar</w:t>
      </w:r>
    </w:p>
    <w:p>
      <w:pPr>
        <w:spacing w:after="160"/>
        <w:jc w:val="both"/>
      </w:pPr>
      <w:r>
        <w:rPr>
          <w:b/>
          <w:bCs/>
        </w:rPr>
        <w:t xml:space="preserve">5. </w:t>
      </w:r>
      <w:r>
        <w:t xml:space="preserve">¿Puede una entidad sin ánimo de lucro, como una asociación, corporación o fundación, inscribirse ante el FNE en la modalidad del artículo 11 de la Resolución 315 de 2020? ¿O debe ser una institución de educación superior, un centro de investigación reconocido por Minciencias, una IPS o un laboratorio con alguna habilitación especial?</w:t>
      </w:r>
    </w:p>
    <w:p>
      <w:pPr>
        <w:spacing w:after="160"/>
        <w:jc w:val="both"/>
      </w:pPr>
      <w:r>
        <w:rPr>
          <w:b/>
          <w:bCs/>
        </w:rPr>
        <w:t xml:space="preserve">6. </w:t>
      </w:r>
      <w:r>
        <w:t xml:space="preserve">¿Puede inscribirse una persona natural, por ejemplo un investigador o un químico independiente?</w:t>
      </w:r>
    </w:p>
    <w:p>
      <w:pPr>
        <w:spacing w:after="160"/>
        <w:jc w:val="both"/>
      </w:pPr>
      <w:r>
        <w:rPr>
          <w:b/>
          <w:bCs/>
        </w:rPr>
        <w:t xml:space="preserve">7. </w:t>
      </w:r>
      <w:r>
        <w:t xml:space="preserve">¿Qué debe decir, como mínimo, el objeto social de la entidad para que la inscripción sea viable? ¿Hay requisitos de antigüedad, patrimonio o experiencia?</w:t>
      </w:r>
    </w:p>
    <w:p>
      <w:pPr>
        <w:spacing w:after="160"/>
        <w:jc w:val="both"/>
      </w:pPr>
      <w:r>
        <w:rPr>
          <w:b/>
          <w:bCs/>
        </w:rPr>
        <w:t xml:space="preserve">8. </w:t>
      </w:r>
      <w:r>
        <w:t xml:space="preserve">¿Puede una persona natural, o una entidad que aún no tenga NIT, pedir orientación previa sobre un proyecto de investigación antes de iniciar el trámite de inscripción?</w:t>
      </w:r>
    </w:p>
    <w:p>
      <w:pPr>
        <w:pStyle w:val="Heading2"/>
      </w:pPr>
      <w:r>
        <w:t xml:space="preserve">C. Requisitos y trámite de la inscripción</w:t>
      </w:r>
    </w:p>
    <w:p>
      <w:pPr>
        <w:spacing w:after="160"/>
        <w:jc w:val="both"/>
      </w:pPr>
      <w:r>
        <w:rPr>
          <w:b/>
          <w:bCs/>
        </w:rPr>
        <w:t xml:space="preserve">9. </w:t>
      </w:r>
      <w:r>
        <w:t xml:space="preserve">¿Cuáles son todos los requisitos, documentos y formatos para la inscripción del artículo 11? ¿Por qué canal se radica, cuánto cuesta, en qué plazo se resuelve, cuánto dura y cómo se renueva?</w:t>
      </w:r>
    </w:p>
    <w:p>
      <w:pPr>
        <w:spacing w:after="160"/>
        <w:jc w:val="both"/>
      </w:pPr>
      <w:r>
        <w:rPr>
          <w:b/>
          <w:bCs/>
        </w:rPr>
        <w:t xml:space="preserve">10. </w:t>
      </w:r>
      <w:r>
        <w:t xml:space="preserve">¿En qué casos "aplica" el certificado de Buenas Prácticas de Laboratorio del Invima y en qué casos basta el acta de visita con concepto favorable? ¿Qué se verifica en esa visita y quién la hace?</w:t>
      </w:r>
    </w:p>
    <w:p>
      <w:pPr>
        <w:spacing w:after="160"/>
        <w:jc w:val="both"/>
      </w:pPr>
      <w:r>
        <w:rPr>
          <w:b/>
          <w:bCs/>
        </w:rPr>
        <w:t xml:space="preserve">11. </w:t>
      </w:r>
      <w:r>
        <w:t xml:space="preserve">¿Qué condiciones de seguridad y almacenamiento exige el FNE, como caja fuerte, control de acceso, cámaras o libros de control? ¿Hay cantidades máximas de psilocibina o psilocina que una entidad inscrita pueda tener?</w:t>
      </w:r>
    </w:p>
    <w:p>
      <w:pPr>
        <w:spacing w:after="160"/>
        <w:jc w:val="both"/>
      </w:pPr>
      <w:r>
        <w:rPr>
          <w:b/>
          <w:bCs/>
        </w:rPr>
        <w:t xml:space="preserve">12. </w:t>
      </w:r>
      <w:r>
        <w:t xml:space="preserve">¿El director técnico debe tener contrato laboral o basta un contrato de prestación de servicios? ¿Puede ser director técnico de varias entidades a la vez?</w:t>
      </w:r>
    </w:p>
    <w:p>
      <w:pPr>
        <w:spacing w:after="160"/>
        <w:jc w:val="both"/>
      </w:pPr>
      <w:r>
        <w:rPr>
          <w:b/>
          <w:bCs/>
        </w:rPr>
        <w:t xml:space="preserve">13. </w:t>
      </w:r>
      <w:r>
        <w:t xml:space="preserve">¿Qué debe contener la justificación del uso? ¿Se exige protocolo, aval de un comité de ética o cálculo de cantidades? ¿Qué objetivos de investigación no autorizaría el FNE, según el parágrafo 3 del artículo 11?</w:t>
      </w:r>
    </w:p>
    <w:p>
      <w:pPr>
        <w:spacing w:after="160"/>
        <w:jc w:val="both"/>
      </w:pPr>
      <w:r>
        <w:rPr>
          <w:b/>
          <w:bCs/>
        </w:rPr>
        <w:t xml:space="preserve">14. </w:t>
      </w:r>
      <w:r>
        <w:t xml:space="preserve">¿Qué implica una inscripción limitada a material de referencia certificado? ¿Sirve para tener psilocibina o psilocina como patrón analítico?</w:t>
      </w:r>
    </w:p>
    <w:p>
      <w:pPr>
        <w:pStyle w:val="Heading2"/>
      </w:pPr>
      <w:r>
        <w:t xml:space="preserve">D. Cómo obtener la sustancia</w:t>
      </w:r>
    </w:p>
    <w:p>
      <w:pPr>
        <w:spacing w:after="160"/>
        <w:jc w:val="both"/>
      </w:pPr>
      <w:r>
        <w:rPr>
          <w:b/>
          <w:bCs/>
        </w:rPr>
        <w:t xml:space="preserve">15. </w:t>
      </w:r>
      <w:r>
        <w:t xml:space="preserve">¿Hay en Colombia personas o empresas inscritas que puedan vender o suministrar psilocibina o psilocina, como material de referencia o como materia prima? ¿Cómo se consulta ese listado?</w:t>
      </w:r>
    </w:p>
    <w:p>
      <w:pPr>
        <w:spacing w:after="160"/>
        <w:jc w:val="both"/>
      </w:pPr>
      <w:r>
        <w:rPr>
          <w:b/>
          <w:bCs/>
        </w:rPr>
        <w:t xml:space="preserve">16. </w:t>
      </w:r>
      <w:r>
        <w:t xml:space="preserve">Para importarlas, ¿qué trámites se requieren ante el FNE y ante otras entidades, como autorización o certificado de importación, cupo o previsión, licencia o registro de importación y trámites ante la Junta Internacional de Fiscalización de Estupefacientes? ¿Cuánto tardan?</w:t>
      </w:r>
    </w:p>
    <w:p>
      <w:pPr>
        <w:spacing w:after="160"/>
        <w:jc w:val="both"/>
      </w:pPr>
      <w:r>
        <w:rPr>
          <w:b/>
          <w:bCs/>
        </w:rPr>
        <w:t xml:space="preserve">17. </w:t>
      </w:r>
      <w:r>
        <w:t xml:space="preserve">¿Puede una entidad inscrita sintetizar psilocibina o extraerla de hongos con fines de investigación? ¿Necesita un cupo de producción, según el parágrafo del artículo 13 de la Resolución 315 de 2020?</w:t>
      </w:r>
    </w:p>
    <w:p>
      <w:pPr>
        <w:spacing w:after="160"/>
        <w:jc w:val="both"/>
      </w:pPr>
      <w:r>
        <w:rPr>
          <w:b/>
          <w:bCs/>
        </w:rPr>
        <w:t xml:space="preserve">18. </w:t>
      </w:r>
      <w:r>
        <w:t xml:space="preserve">El artículo 3 de la Ley 30 de 1986 limita el cultivo de plantas de las que se producen estupefacientes a fines médicos y científicos, "conforme la reglamentación que para el efecto expida el Ministerio de Salud". ¿Existe reglamentación para cultivar con fines científicos hongos que producen psilocibina? Si no existe, ¿cuál es la vía para obtener autorización?</w:t>
      </w:r>
    </w:p>
    <w:p>
      <w:pPr>
        <w:spacing w:after="160"/>
        <w:jc w:val="both"/>
      </w:pPr>
      <w:r>
        <w:rPr>
          <w:b/>
          <w:bCs/>
        </w:rPr>
        <w:t xml:space="preserve">19. </w:t>
      </w:r>
      <w:r>
        <w:t xml:space="preserve">¿Cómo debe acreditar la entidad inscrita la procedencia lícita de las muestras que recibe?</w:t>
      </w:r>
    </w:p>
    <w:p>
      <w:pPr>
        <w:pStyle w:val="Heading2"/>
      </w:pPr>
      <w:r>
        <w:t xml:space="preserve">E. Alianzas y análisis de muestras</w:t>
      </w:r>
    </w:p>
    <w:p>
      <w:pPr>
        <w:spacing w:after="160"/>
        <w:jc w:val="both"/>
      </w:pPr>
      <w:r>
        <w:rPr>
          <w:b/>
          <w:bCs/>
        </w:rPr>
        <w:t xml:space="preserve">20. </w:t>
      </w:r>
      <w:r>
        <w:t xml:space="preserve">¿Puede una persona natural o una entidad sin ánimo de lucro, sin estar inscrita, financiar o contratar investigación con psilocibina a cargo de una universidad o un laboratorio inscrito, bajo la figura de tercerización del parágrafo 2 del artículo 11? ¿Qué obligaciones y responsabilidades tendría quien financia o contrata en ese caso?</w:t>
      </w:r>
    </w:p>
    <w:p>
      <w:pPr>
        <w:spacing w:after="160"/>
        <w:jc w:val="both"/>
      </w:pPr>
      <w:r>
        <w:rPr>
          <w:b/>
          <w:bCs/>
        </w:rPr>
        <w:t xml:space="preserve">21. </w:t>
      </w:r>
      <w:r>
        <w:t xml:space="preserve">¿Puede un laboratorio inscrito analizar hongos o productos con psilocibina entregados por particulares, por ejemplo para medir su concentración con fines de reducción de riesgos? ¿Aplica a ese caso el parágrafo 1 del artículo 11? ¿Qué debe hacerse con el remanente de la muestra?</w:t>
      </w:r>
    </w:p>
    <w:p>
      <w:pPr>
        <w:pStyle w:val="Heading2"/>
      </w:pPr>
      <w:r>
        <w:t xml:space="preserve">F. Obligaciones después de inscribirse</w:t>
      </w:r>
    </w:p>
    <w:p>
      <w:pPr>
        <w:spacing w:after="160"/>
        <w:jc w:val="both"/>
      </w:pPr>
      <w:r>
        <w:rPr>
          <w:b/>
          <w:bCs/>
        </w:rPr>
        <w:t xml:space="preserve">22. </w:t>
      </w:r>
      <w:r>
        <w:t xml:space="preserve">¿Qué libros, registros e informes periódicos debe llevar y presentar la entidad inscrita? ¿Con qué frecuencia la inspecciona el FNE?</w:t>
      </w:r>
    </w:p>
    <w:p>
      <w:pPr>
        <w:spacing w:after="160"/>
        <w:jc w:val="both"/>
      </w:pPr>
      <w:r>
        <w:rPr>
          <w:b/>
          <w:bCs/>
        </w:rPr>
        <w:t xml:space="preserve">23. </w:t>
      </w:r>
      <w:r>
        <w:t xml:space="preserve">¿Cómo se transporta la sustancia entre sedes o hacia aliados, cómo se destruyen los remanentes y residuos, y qué debe hacerse ante una pérdida o un hurto?</w:t>
      </w:r>
    </w:p>
    <w:p>
      <w:pPr>
        <w:spacing w:after="160"/>
        <w:jc w:val="both"/>
      </w:pPr>
      <w:r>
        <w:rPr>
          <w:b/>
          <w:bCs/>
        </w:rPr>
        <w:t xml:space="preserve">24. </w:t>
      </w:r>
      <w:r>
        <w:t xml:space="preserve">¿Qué sanciones administrativas aplica el FNE por incumplir estas obligaciones?</w:t>
      </w:r>
    </w:p>
    <w:p>
      <w:pPr>
        <w:pStyle w:val="Heading2"/>
      </w:pPr>
      <w:r>
        <w:t xml:space="preserve">G. Investigación con personas</w:t>
      </w:r>
    </w:p>
    <w:p>
      <w:pPr>
        <w:spacing w:after="160"/>
        <w:jc w:val="both"/>
      </w:pPr>
      <w:r>
        <w:rPr>
          <w:b/>
          <w:bCs/>
        </w:rPr>
        <w:t xml:space="preserve">25. </w:t>
      </w:r>
      <w:r>
        <w:t xml:space="preserve">Si la investigación incluye administrar psilocibina a personas, ¿qué autorizaciones adicionales se requieren del FNE, del Invima y de otras entidades? ¿Cómo se coordinan con las Resoluciones 2378 de 2008 y 8430 de 1993?</w:t>
      </w:r>
    </w:p>
    <w:p>
      <w:pPr>
        <w:spacing w:after="160"/>
        <w:jc w:val="both"/>
      </w:pPr>
      <w:r>
        <w:rPr>
          <w:b/>
          <w:bCs/>
        </w:rPr>
        <w:t xml:space="preserve">26. </w:t>
      </w:r>
      <w:r>
        <w:t xml:space="preserve">¿Cómo se importa psilocibina de grado farmacéutico para un ensayo clínico aprobado? ¿Existe en Colombia alguna vía de uso compasivo o de acceso especial para pacientes?</w:t>
      </w:r>
    </w:p>
    <w:p>
      <w:pPr>
        <w:pStyle w:val="Heading2"/>
      </w:pPr>
      <w:r>
        <w:t xml:space="preserve">H. Información pública</w:t>
      </w:r>
    </w:p>
    <w:p>
      <w:pPr>
        <w:spacing w:after="160"/>
        <w:jc w:val="both"/>
      </w:pPr>
      <w:r>
        <w:t xml:space="preserve">Solicito la siguiente información en forma agregada, sin datos personales ni información reservada:</w:t>
      </w:r>
    </w:p>
    <w:p>
      <w:pPr>
        <w:spacing w:after="160"/>
        <w:jc w:val="both"/>
      </w:pPr>
      <w:r>
        <w:rPr>
          <w:b/>
          <w:bCs/>
        </w:rPr>
        <w:t xml:space="preserve">27. </w:t>
      </w:r>
      <w:r>
        <w:t xml:space="preserve">Número de inscripciones vigentes que incluyen psilocibina o psilocina, por tipo de entidad: universidad, laboratorio, IPS u otra.</w:t>
      </w:r>
    </w:p>
    <w:p>
      <w:pPr>
        <w:spacing w:after="160"/>
        <w:jc w:val="both"/>
      </w:pPr>
      <w:r>
        <w:rPr>
          <w:b/>
          <w:bCs/>
        </w:rPr>
        <w:t xml:space="preserve">28. </w:t>
      </w:r>
      <w:r>
        <w:t xml:space="preserve">Número de solicitudes recibidas desde 2020 sobre psilocibina, psilocina u hongos que las contienen, por tipo de trámite (inscripción, importación, concepto técnico) y su resultado.</w:t>
      </w:r>
    </w:p>
    <w:p>
      <w:pPr>
        <w:spacing w:after="160"/>
        <w:jc w:val="both"/>
      </w:pPr>
      <w:r>
        <w:rPr>
          <w:b/>
          <w:bCs/>
        </w:rPr>
        <w:t xml:space="preserve">29. </w:t>
      </w:r>
      <w:r>
        <w:t xml:space="preserve">Cantidades de psilocibina y psilocina importadas, fabricadas o usadas lícitamente en Colombia desde 2020, y las reportadas a la Junta Internacional de Fiscalización de Estupefacientes.</w:t>
      </w:r>
    </w:p>
    <w:p>
      <w:pPr>
        <w:spacing w:after="160"/>
        <w:jc w:val="both"/>
      </w:pPr>
      <w:r>
        <w:rPr>
          <w:b/>
          <w:bCs/>
        </w:rPr>
        <w:t xml:space="preserve">30. </w:t>
      </w:r>
      <w:r>
        <w:t xml:space="preserve">Copia de los formatos, guías, instructivos, circulares y conceptos del FNE sobre la inscripción del artículo 11 de la Resolución 315 de 2020, sobre psilocibina o sobre hongos que la contienen.</w:t>
      </w:r>
    </w:p>
    <w:p>
      <w:pPr>
        <w:pStyle w:val="Heading2"/>
      </w:pPr>
      <w:r>
        <w:t xml:space="preserve">I. Actividades que no implican la sustancia</w:t>
      </w:r>
    </w:p>
    <w:p>
      <w:pPr>
        <w:spacing w:after="160"/>
        <w:jc w:val="both"/>
      </w:pPr>
      <w:r>
        <w:rPr>
          <w:b/>
          <w:bCs/>
        </w:rPr>
        <w:t xml:space="preserve">31. </w:t>
      </w:r>
      <w:r>
        <w:t xml:space="preserve">¿Requieren alguna autorización o reporte ante el FNE las actividades de personas naturales o entidades sin ánimo de lucro que no implican tener ni manipular la sustancia, como educación, revisión de literatura, encuestas, eventos académicos o participación en el debate público?</w:t>
      </w:r>
    </w:p>
    <w:p>
      <w:pPr>
        <w:spacing w:after="160"/>
        <w:jc w:val="both"/>
      </w:pPr>
      <w:r>
        <w:rPr>
          <w:b/>
          <w:bCs/>
        </w:rPr>
        <w:t xml:space="preserve">32. </w:t>
      </w:r>
      <w:r>
        <w:t xml:space="preserve">El artículo 9 de la Ley 30 de 1986 dispone que toda campaña "tendiente a evitar los cultivos y la producción, tráfico y consumo de sustancias estupefacientes" debe ser "dirigida y supervisada por el Consejo Nacional de Estupefacientes". El literal d) del artículo 91 le asigna a ese Consejo "supervisar la actividad de las entidades estatales y privadas que se ocupan de la prevención e investigación científica". ¿Debe una entidad privada sin ánimo de lucro que realice actividades educativas, de investigación o de reducción de riesgos sobre estas sustancias registrarse, pedir autorización o reportar esas actividades ante ese Consejo? ¿Cómo se hace?</w:t>
      </w:r>
    </w:p>
    <w:p>
      <w:pPr>
        <w:pStyle w:val="Heading1"/>
      </w:pPr>
      <w:r>
        <w:t xml:space="preserve">Remisión y copias</w:t>
      </w:r>
    </w:p>
    <w:p>
      <w:pPr>
        <w:pStyle w:val="ListParagraph"/>
        <w:numPr>
          <w:ilvl w:val="0"/>
          <w:numId w:val="2"/>
        </w:numPr>
        <w:spacing w:after="120"/>
        <w:jc w:val="both"/>
      </w:pPr>
      <w:r>
        <w:t xml:space="preserve">Si alguna pregunta corresponde a otra entidad, como el Invima, el Ministerio de Salud y Protección Social o el Consejo Nacional de Estupefacientes, solicito que el FNE la remita dentro de los cinco (5) días siguientes a su recepción, con copia a mí, como lo ordena el artículo 21 de la Ley 1755 de 2015.</w:t>
      </w:r>
    </w:p>
    <w:p>
      <w:pPr>
        <w:pStyle w:val="ListParagraph"/>
        <w:numPr>
          <w:ilvl w:val="0"/>
          <w:numId w:val="2"/>
        </w:numPr>
        <w:spacing w:after="120"/>
        <w:jc w:val="both"/>
      </w:pPr>
      <w:r>
        <w:t xml:space="preserve">Solicito copia de las normas, conceptos o documentos en que se funde cada respuesta.</w:t>
      </w:r>
    </w:p>
    <w:p>
      <w:pPr>
        <w:pStyle w:val="ListParagraph"/>
        <w:numPr>
          <w:ilvl w:val="0"/>
          <w:numId w:val="2"/>
        </w:numPr>
        <w:spacing w:after="120"/>
        <w:jc w:val="both"/>
      </w:pPr>
      <w:r>
        <w:t xml:space="preserve">Si alguna información tiene reserva legal, solicito que se indique la norma que la establece y que se entregue la parte no reservada.</w:t>
      </w:r>
    </w:p>
    <w:p>
      <w:pPr>
        <w:pStyle w:val="Heading1"/>
      </w:pPr>
      <w:r>
        <w:t xml:space="preserve">Notificaciones</w:t>
      </w:r>
    </w:p>
    <w:p>
      <w:pPr>
        <w:spacing w:after="160"/>
        <w:jc w:val="both"/>
      </w:pPr>
      <w:r>
        <w:t xml:space="preserve">Recibiré la respuesta únicamente en el correo electrónico [correo electrónico]. Autorizo que la respuesta se me notifique por ese medio.</w:t>
      </w:r>
    </w:p>
    <w:p>
      <w:pPr>
        <w:spacing w:after="720" w:before="240"/>
        <w:jc w:val="both"/>
      </w:pPr>
      <w:r>
        <w:t xml:space="preserve">Atentamente,</w:t>
      </w:r>
    </w:p>
    <w:p>
      <w:pPr>
        <w:spacing w:after="0"/>
      </w:pPr>
      <w:r>
        <w:t xml:space="preserve">[Firma]</w:t>
      </w:r>
    </w:p>
    <w:p>
      <w:pPr>
        <w:spacing w:after="0"/>
      </w:pPr>
      <w:r>
        <w:t xml:space="preserve">[Nombre completo]</w:t>
      </w:r>
    </w:p>
    <w:p>
      <w:pPr>
        <w:spacing w:after="0"/>
      </w:pPr>
      <w:r>
        <w:t xml:space="preserve">C.C. [número]</w:t>
      </w:r>
    </w:p>
    <w:p>
      <w:pPr>
        <w:spacing w:after="0"/>
      </w:pPr>
      <w:r>
        <w:t xml:space="preserve">[correo electrónico]</w:t>
      </w:r>
    </w:p>
    <w:p>
      <w:r>
        <w:br w:type="page"/>
      </w:r>
    </w:p>
    <w:p>
      <w:pPr>
        <w:pStyle w:val="Heading1"/>
      </w:pPr>
      <w:r>
        <w:t xml:space="preserve">Fuentes de verificación (retirar antes de radicar)</w:t>
      </w:r>
    </w:p>
    <w:p>
      <w:pPr>
        <w:pStyle w:val="ListParagraph"/>
        <w:numPr>
          <w:ilvl w:val="0"/>
          <w:numId w:val="2"/>
        </w:numPr>
        <w:spacing w:after="120"/>
      </w:pPr>
      <w:hyperlink w:history="1" r:id="rIdfeqeffi_mmsypkusgvbnh">
        <w:r>
          <w:rPr>
            <w:rStyle w:val="Hyperlink"/>
          </w:rPr>
          <w:t xml:space="preserve">Guía de atención al usuario del FNE</w:t>
        </w:r>
      </w:hyperlink>
      <w:r>
        <w:t xml:space="preserve">: canales de radicación y plazos de respuesta.</w:t>
      </w:r>
    </w:p>
    <w:p>
      <w:pPr>
        <w:pStyle w:val="ListParagraph"/>
        <w:numPr>
          <w:ilvl w:val="0"/>
          <w:numId w:val="2"/>
        </w:numPr>
        <w:spacing w:after="120"/>
      </w:pPr>
      <w:hyperlink w:history="1" r:id="rIdex614p7j8ptib06joypkh">
        <w:r>
          <w:rPr>
            <w:rStyle w:val="Hyperlink"/>
          </w:rPr>
          <w:t xml:space="preserve">Circular Externa 002 de 2026 del FNE</w:t>
        </w:r>
      </w:hyperlink>
      <w:r>
        <w:t xml:space="preserve">: dirección, correo y fundamento de competencia (Decreto 205 de 2003, art. 20; Decreto 4107 de 2011, art. 26).</w:t>
      </w:r>
    </w:p>
    <w:p>
      <w:pPr>
        <w:pStyle w:val="ListParagraph"/>
        <w:numPr>
          <w:ilvl w:val="0"/>
          <w:numId w:val="2"/>
        </w:numPr>
        <w:spacing w:after="120"/>
      </w:pPr>
      <w:hyperlink w:history="1" r:id="rId_v7egkrvhtkwgtv3pfiws">
        <w:r>
          <w:rPr>
            <w:rStyle w:val="Hyperlink"/>
          </w:rPr>
          <w:t xml:space="preserve">Ley 1755 de 2015</w:t>
        </w:r>
      </w:hyperlink>
      <w:r>
        <w:t xml:space="preserve">, arts. 13, 14, 16 y 21 (compilación de la CRA).</w:t>
      </w:r>
    </w:p>
    <w:p>
      <w:pPr>
        <w:pStyle w:val="ListParagraph"/>
        <w:numPr>
          <w:ilvl w:val="0"/>
          <w:numId w:val="2"/>
        </w:numPr>
        <w:spacing w:after="120"/>
      </w:pPr>
      <w:hyperlink w:history="1" r:id="rIduzxcj67emzvavqf82rice">
        <w:r>
          <w:rPr>
            <w:rStyle w:val="Hyperlink"/>
          </w:rPr>
          <w:t xml:space="preserve">Constitución Política, art. 23</w:t>
        </w:r>
      </w:hyperlink>
      <w:r>
        <w:t xml:space="preserve"> (compilación de la CRA).</w:t>
      </w:r>
    </w:p>
    <w:p>
      <w:pPr>
        <w:pStyle w:val="ListParagraph"/>
        <w:numPr>
          <w:ilvl w:val="0"/>
          <w:numId w:val="2"/>
        </w:numPr>
        <w:spacing w:after="120"/>
      </w:pPr>
      <w:hyperlink w:history="1" r:id="rIdxoo3c-fwejfw64myep70g">
        <w:r>
          <w:rPr>
            <w:rStyle w:val="Hyperlink"/>
          </w:rPr>
          <w:t xml:space="preserve">Resolución 315 de 2020</w:t>
        </w:r>
      </w:hyperlink>
      <w:r>
        <w:t xml:space="preserve">, arts. 3, 11 y 13 (Normograma Invima).</w:t>
      </w:r>
    </w:p>
    <w:p>
      <w:pPr>
        <w:pStyle w:val="ListParagraph"/>
        <w:numPr>
          <w:ilvl w:val="0"/>
          <w:numId w:val="2"/>
        </w:numPr>
        <w:spacing w:after="120"/>
      </w:pPr>
      <w:hyperlink w:history="1" r:id="rIdb4jad3f_muayrmvvaym1j">
        <w:r>
          <w:rPr>
            <w:rStyle w:val="Hyperlink"/>
          </w:rPr>
          <w:t xml:space="preserve">Resolución 116 de 2026</w:t>
        </w:r>
      </w:hyperlink>
      <w:r>
        <w:t xml:space="preserve"> (copia publicada por el ICA).</w:t>
      </w:r>
    </w:p>
    <w:p>
      <w:pPr>
        <w:pStyle w:val="ListParagraph"/>
        <w:numPr>
          <w:ilvl w:val="0"/>
          <w:numId w:val="2"/>
        </w:numPr>
        <w:spacing w:after="120"/>
      </w:pPr>
      <w:hyperlink w:history="1" r:id="rIddtl9kbonr2kbgud2ozuse">
        <w:r>
          <w:rPr>
            <w:rStyle w:val="Hyperlink"/>
          </w:rPr>
          <w:t xml:space="preserve">Ley 30 de 1986</w:t>
        </w:r>
      </w:hyperlink>
      <w:r>
        <w:t xml:space="preserve">, arts. 3, 9 y 91 (Régimen Legal de Bogotá).</w:t>
      </w:r>
    </w:p>
    <w:p>
      <w:pPr>
        <w:pStyle w:val="ListParagraph"/>
        <w:numPr>
          <w:ilvl w:val="0"/>
          <w:numId w:val="2"/>
        </w:numPr>
        <w:spacing w:after="120"/>
      </w:pPr>
      <w:hyperlink w:history="1" r:id="rIdwr5ryzhnse3o-auq8aqkp">
        <w:r>
          <w:rPr>
            <w:rStyle w:val="Hyperlink"/>
          </w:rPr>
          <w:t xml:space="preserve">Ley 43 de 1980</w:t>
        </w:r>
      </w:hyperlink>
      <w:r>
        <w:t xml:space="preserve"> (SIDN, Rama Judicial).</w:t>
      </w:r>
    </w:p>
    <w:p>
      <w:pPr>
        <w:pStyle w:val="ListParagraph"/>
        <w:numPr>
          <w:ilvl w:val="0"/>
          <w:numId w:val="2"/>
        </w:numPr>
        <w:spacing w:after="120"/>
      </w:pPr>
      <w:hyperlink w:history="1" r:id="rIdanomm6ej29azemsjllnd0">
        <w:r>
          <w:rPr>
            <w:rStyle w:val="Hyperlink"/>
          </w:rPr>
          <w:t xml:space="preserve">Política Nacional de Drogas 2023-2033</w:t>
        </w:r>
      </w:hyperlink>
      <w:r>
        <w:t xml:space="preserve">, p. 94 del PDF (Minjusticia).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aps/>
      <w:sz w:val="24"/>
      <w:szCs w:val="24"/>
    </w:rPr>
  </w:style>
  <w:style w:type="paragraph" w:styleId="Heading2">
    <w:name w:val="Heading 2"/>
    <w:basedOn w:val="Normal"/>
    <w:next w:val="Normal"/>
    <w:qFormat/>
    <w:pPr>
      <w:spacing w:after="120" w:before="240"/>
      <w:outlineLvl w:val="1"/>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eqeffi_mmsypkusgvbnh" Type="http://schemas.openxmlformats.org/officeDocument/2006/relationships/hyperlink" Target="https://fne.minsalud.gov.co/_catalogs/masterpage/Minsalud/assets/GuiaAtencionUsuario/GU%C3%8DA%20DE%20ATENCION%20AL%20USUARIO.pdf" TargetMode="External"/><Relationship Id="rIdex614p7j8ptib06joypkh" Type="http://schemas.openxmlformats.org/officeDocument/2006/relationships/hyperlink" Target="https://fne.minsalud.gov.co/Style%20Library/assets/Fne_paginas/Home/Banner/05022026/CIRCULAR%20EXTERNA%20002-2026%20final.pdf" TargetMode="External"/><Relationship Id="rId_v7egkrvhtkwgtv3pfiws" Type="http://schemas.openxmlformats.org/officeDocument/2006/relationships/hyperlink" Target="https://normas.cra.gov.co/gestor/docs/ley_1755_2015.htm" TargetMode="External"/><Relationship Id="rIduzxcj67emzvavqf82rice" Type="http://schemas.openxmlformats.org/officeDocument/2006/relationships/hyperlink" Target="https://normas.cra.gov.co/gestor/docs/constitucion_politica_1991.htm" TargetMode="External"/><Relationship Id="rIdxoo3c-fwejfw64myep70g" Type="http://schemas.openxmlformats.org/officeDocument/2006/relationships/hyperlink" Target="https://normograma.invima.gov.co/compilacion/docs/resolucion_minsaludps_0315_2020.htm" TargetMode="External"/><Relationship Id="rIdb4jad3f_muayrmvvaym1j" Type="http://schemas.openxmlformats.org/officeDocument/2006/relationships/hyperlink" Target="https://www.ica.gov.co/getattachment/Areas/Pecuaria/Servicios/Regulacion-y-Control-de-Medicamentos-Veterinarios/Normatividad-Aplicable/Resolucion-No-116-de-2026-MECE_260219_085726_ESTUPEFACIENTES.pdf.aspx?lang=es-CO" TargetMode="External"/><Relationship Id="rIddtl9kbonr2kbgud2ozuse" Type="http://schemas.openxmlformats.org/officeDocument/2006/relationships/hyperlink" Target="https://www.alcaldiabogota.gov.co/sisjur/normas/Norma1.jsp?i=2774" TargetMode="External"/><Relationship Id="rIdwr5ryzhnse3o-auq8aqkp" Type="http://schemas.openxmlformats.org/officeDocument/2006/relationships/hyperlink" Target="https://sidn.ramajudicial.gov.co/SIDN/NORMATIVA/TEXTOS_COMPLETOS/7_LEYES/LEYES%201980/Ley%2043%20de%201980.pdf" TargetMode="External"/><Relationship Id="rIdanomm6ej29azemsjllnd0" Type="http://schemas.openxmlformats.org/officeDocument/2006/relationships/hyperlink" Target="https://www.minjusticia.gov.co/Sala-de-prensa/Documents/Pol%C3%ADtica%20Nacional%20de%20Drogas%202023-2033%20%27Sembrando%20vida,%20desterramos%20el%20narcotr%C3%A1fico%27.pdf"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de petición al Fondo Nacional de Estupefacientes</dc:title>
  <cp:lastModifiedBy>Un-named</cp:lastModifiedBy>
  <cp:revision>1</cp:revision>
  <dcterms:created xsi:type="dcterms:W3CDTF">2026-10-13T16:20:37.426Z</dcterms:created>
  <dcterms:modified xsi:type="dcterms:W3CDTF">2026-10-13T16:20:37.426Z</dcterms:modified>
</cp:coreProperties>
</file>

<file path=docProps/custom.xml><?xml version="1.0" encoding="utf-8"?>
<Properties xmlns="http://schemas.openxmlformats.org/officeDocument/2006/custom-properties" xmlns:vt="http://schemas.openxmlformats.org/officeDocument/2006/docPropsVTypes"/>
</file>