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t xml:space="preserve">[Ciudad], [día] de [mes] de 2026</w:t>
      </w:r>
    </w:p>
    <w:p>
      <w:pPr>
        <w:spacing w:after="0"/>
      </w:pPr>
      <w:r>
        <w:t xml:space="preserve">Señores</w:t>
      </w:r>
    </w:p>
    <w:p>
      <w:pPr>
        <w:spacing w:after="0"/>
      </w:pPr>
      <w:r>
        <w:rPr>
          <w:b/>
          <w:bCs/>
        </w:rPr>
        <w:t xml:space="preserve">Unidad Administrativa Especial Fondo Nacional de Estupefacientes (FNE)</w:t>
      </w:r>
    </w:p>
    <w:p>
      <w:pPr>
        <w:spacing w:after="0"/>
      </w:pPr>
      <w:r>
        <w:t xml:space="preserve">Ministerio de Salud y Protección Social</w:t>
      </w:r>
    </w:p>
    <w:p>
      <w:pPr>
        <w:spacing w:after="0"/>
      </w:pPr>
      <w:r>
        <w:t xml:space="preserve">Calle 25D n.º 100-12, barrio La Rosita, Fontibón, Bogotá D.C.</w:t>
      </w:r>
    </w:p>
    <w:p>
      <w:pPr>
        <w:spacing w:after="240"/>
      </w:pPr>
      <w:r>
        <w:t xml:space="preserve">fne@minsalud.gov.co · copia a correo@minsalud.gov.co</w:t>
      </w:r>
    </w:p>
    <w:p>
      <w:pPr>
        <w:spacing w:after="160"/>
        <w:jc w:val="both"/>
      </w:pPr>
      <w:r>
        <w:rPr>
          <w:b/>
          <w:bCs/>
        </w:rPr>
        <w:t xml:space="preserve">Asunto:</w:t>
      </w:r>
      <w:r>
        <w:t xml:space="preserve"> Derecho de petición de información y consulta sobre el estado actual y la situación jurídica de la psilocibina, la psilocina y los hongos que las contienen, y sobre los requisitos para su uso con fines de investigación científica.</w:t>
      </w:r>
    </w:p>
    <w:p>
      <w:pPr>
        <w:spacing w:after="160"/>
        <w:jc w:val="both"/>
      </w:pPr>
      <w:r>
        <w:t xml:space="preserve">[Nombre completo], identificado con cédula de ciudadanía n.º [número], actuando en nombre propio, presento ante el Fondo Nacional de Estupefacientes (FNE) el siguiente derecho de petición.</w:t>
      </w:r>
    </w:p>
    <w:p>
      <w:pPr>
        <w:pStyle w:val="Heading1"/>
      </w:pPr>
      <w:r>
        <w:t xml:space="preserve">Hechos</w:t>
      </w:r>
    </w:p>
    <w:p>
      <w:pPr>
        <w:pStyle w:val="ListParagraph"/>
        <w:numPr>
          <w:ilvl w:val="0"/>
          <w:numId w:val="2"/>
        </w:numPr>
        <w:spacing w:after="120"/>
        <w:jc w:val="both"/>
      </w:pPr>
      <w:r>
        <w:t xml:space="preserve">Tengo interés en conocer el estado actual y la situación jurídica de la psilocibina, la psilocina y los hongos que las contienen en Colombia, y las condiciones en que pueden usarse con fines de investigación científica.</w:t>
      </w:r>
    </w:p>
    <w:p>
      <w:pPr>
        <w:pStyle w:val="ListParagraph"/>
        <w:numPr>
          <w:ilvl w:val="0"/>
          <w:numId w:val="2"/>
        </w:numPr>
        <w:spacing w:after="120"/>
        <w:jc w:val="both"/>
      </w:pPr>
      <w:r>
        <w:t xml:space="preserve">La Ley 43 de 1980 aprobó el Convenio sobre Sustancias Sicotrópicas de 1971, cuya Lista I incluye la psilocina y la psilocibina.</w:t>
      </w:r>
    </w:p>
    <w:p>
      <w:pPr>
        <w:pStyle w:val="ListParagraph"/>
        <w:numPr>
          <w:ilvl w:val="0"/>
          <w:numId w:val="2"/>
        </w:numPr>
        <w:spacing w:after="120"/>
        <w:jc w:val="both"/>
      </w:pPr>
      <w:r>
        <w:t xml:space="preserve">La Junta Internacional de Fiscalización de Estupefacientes (JIFE), en su Informe Anual de 2010 (párrafos 284 a 287), señaló que ninguna planta está fiscalizada en virtud del Convenio de 1971. Mencionó expresamente los hongos del género </w:t>
      </w:r>
      <w:r>
        <w:rPr>
          <w:i/>
          <w:iCs/>
        </w:rPr>
        <w:t xml:space="preserve">Psilocybe</w:t>
      </w:r>
      <w:r>
        <w:t xml:space="preserve"> entre los materiales no fiscalizados internacionalmente y recomendó a los gobiernos considerar su control nacional cuando fuera necesario.</w:t>
      </w:r>
    </w:p>
    <w:p>
      <w:pPr>
        <w:pStyle w:val="ListParagraph"/>
        <w:numPr>
          <w:ilvl w:val="0"/>
          <w:numId w:val="2"/>
        </w:numPr>
        <w:spacing w:after="120"/>
        <w:jc w:val="both"/>
      </w:pPr>
      <w:r>
        <w:t xml:space="preserve">En el Anexo Técnico 1 de la Resolución 315 de 2020, reemplazado por la Resolución 116 de 2026, la psilocibina (n.º 407) y la psilocina (n.º 408) figuran como "Lista Verde / Lista I". En mi revisión de esa resolución no encontré una mención expresa de los hongos.</w:t>
      </w:r>
    </w:p>
    <w:p>
      <w:pPr>
        <w:pStyle w:val="ListParagraph"/>
        <w:numPr>
          <w:ilvl w:val="0"/>
          <w:numId w:val="2"/>
        </w:numPr>
        <w:spacing w:after="120"/>
        <w:jc w:val="both"/>
      </w:pPr>
      <w:r>
        <w:t xml:space="preserve">El artículo 3 de la Ley 30 de 1986 limita la producción, importación, distribución, uso y posesión de estupefacientes, y el cultivo de las plantas de las que se producen, a "los fines médicos y científicos", conforme a la reglamentación del Ministerio de Salud.</w:t>
      </w:r>
    </w:p>
    <w:p>
      <w:pPr>
        <w:pStyle w:val="ListParagraph"/>
        <w:numPr>
          <w:ilvl w:val="0"/>
          <w:numId w:val="2"/>
        </w:numPr>
        <w:spacing w:after="120"/>
        <w:jc w:val="both"/>
      </w:pPr>
      <w:r>
        <w:t xml:space="preserve">El artículo 3 de la Resolución 315 de 2020 extiende la fiscalización "a las mezclas y productos que las contengan". Ante duda razonable sobre un producto o mezcla, permite solicitar un concepto técnico al FNE "adjuntando la ficha técnica y certificado analítico".</w:t>
      </w:r>
    </w:p>
    <w:p>
      <w:pPr>
        <w:pStyle w:val="ListParagraph"/>
        <w:numPr>
          <w:ilvl w:val="0"/>
          <w:numId w:val="2"/>
        </w:numPr>
        <w:spacing w:after="120"/>
        <w:jc w:val="both"/>
      </w:pPr>
      <w:r>
        <w:t xml:space="preserve">El artículo 11 de la misma resolución exige a las "personas naturales y/o jurídicas" que adquieran sustancias fiscalizadas "para fines de investigación" inscribirse ante el FNE con los requisitos de sus numerales 1 a 8.</w:t>
      </w:r>
    </w:p>
    <w:p>
      <w:pPr>
        <w:pStyle w:val="ListParagraph"/>
        <w:numPr>
          <w:ilvl w:val="0"/>
          <w:numId w:val="2"/>
        </w:numPr>
        <w:spacing w:after="120"/>
        <w:jc w:val="both"/>
      </w:pPr>
      <w:r>
        <w:t xml:space="preserve">La Política Nacional de Drogas 2023-2033 dispone que "se promoverá la investigación científica sobre las propiedades, potencialidades y usos lícitos" de sustancias "tales como [...] la psilocibina proveniente de los hongos".</w:t>
      </w:r>
    </w:p>
    <w:p>
      <w:pPr>
        <w:pStyle w:val="ListParagraph"/>
        <w:numPr>
          <w:ilvl w:val="0"/>
          <w:numId w:val="2"/>
        </w:numPr>
        <w:spacing w:after="120"/>
        <w:jc w:val="both"/>
      </w:pPr>
      <w:r>
        <w:t xml:space="preserve">La Resolución 2100 de 2025 del Ministerio de Salud y Protección Social adoptó la Política integral para la prevención, la reducción de riesgos y daños y la atención del consumo de sustancias psicoactivas 2025-2033, que incluye los "servicios de análisis de sustancias".</w:t>
      </w:r>
    </w:p>
    <w:p>
      <w:pPr>
        <w:pStyle w:val="ListParagraph"/>
        <w:numPr>
          <w:ilvl w:val="0"/>
          <w:numId w:val="2"/>
        </w:numPr>
        <w:spacing w:after="120"/>
        <w:jc w:val="both"/>
      </w:pPr>
      <w:r>
        <w:t xml:space="preserve">El Invima ha emitido alertas sanitarias sobre productos que se promocionan con psilocibina, como las alertas 141-2025 y 247-2026. En la segunda señaló que "el uso de psilocibina no se encuentra regulado ni permitido en alimentos y bebidas".</w:t>
      </w:r>
    </w:p>
    <w:p>
      <w:pPr>
        <w:pStyle w:val="ListParagraph"/>
        <w:numPr>
          <w:ilvl w:val="0"/>
          <w:numId w:val="2"/>
        </w:numPr>
        <w:spacing w:after="120"/>
        <w:jc w:val="both"/>
      </w:pPr>
      <w:r>
        <w:t xml:space="preserve">No encontré información pública sobre inscripciones otorgadas por el FNE para investigar con psilocibina. Tampoco la encontré sobre el tratamiento regulatorio de los hongos que la contienen, sus esporas o su micelio.</w:t>
      </w:r>
    </w:p>
    <w:p>
      <w:pPr>
        <w:pStyle w:val="Heading1"/>
      </w:pPr>
      <w:r>
        <w:t xml:space="preserve">Peticiones</w:t>
      </w:r>
    </w:p>
    <w:p>
      <w:pPr>
        <w:spacing w:after="160"/>
        <w:jc w:val="both"/>
      </w:pPr>
      <w:r>
        <w:t xml:space="preserve">Solicito que el FNE responda de fondo, de forma clara y separada, cada una de las siguientes preguntas, e indique la norma en que se funda cada respuesta. Si alguna no es de su competencia, solicito que la remita a la autoridad competente, en los términos del artículo 21 de la Ley 1437 de 2011, sustituido por la Ley 1755 de 2015.</w:t>
      </w:r>
    </w:p>
    <w:p>
      <w:pPr>
        <w:pStyle w:val="Heading2"/>
      </w:pPr>
      <w:r>
        <w:t xml:space="preserve">A. Marco normativo vigente y estado actual</w:t>
      </w:r>
    </w:p>
    <w:p>
      <w:pPr>
        <w:spacing w:after="160"/>
        <w:jc w:val="both"/>
      </w:pPr>
      <w:r>
        <w:rPr>
          <w:b/>
          <w:bCs/>
        </w:rPr>
        <w:t xml:space="preserve">1.</w:t>
      </w:r>
      <w:r>
        <w:t xml:space="preserve"> ¿Cuáles son las normas vigentes (leyes, decretos, resoluciones, circulares y conceptos) que regulan hoy en Colombia la psilocibina, la psilocina y los hongos que las contienen? Para cada una, solicito indicar qué aspecto regula.</w:t>
      </w:r>
    </w:p>
    <w:p>
      <w:pPr>
        <w:spacing w:after="160"/>
        <w:jc w:val="both"/>
      </w:pPr>
      <w:r>
        <w:rPr>
          <w:b/>
          <w:bCs/>
        </w:rPr>
        <w:t xml:space="preserve">2.</w:t>
      </w:r>
      <w:r>
        <w:t xml:space="preserve"> ¿Cuál es la clasificación vigente de la psilocibina y la psilocina en los anexos de la Resolución 315 de 2020, reemplazados por la Resolución 116 de 2026? ¿Qué actividades están permitidas y cuáles prohibidas para las sustancias de esa clasificación?</w:t>
      </w:r>
    </w:p>
    <w:p>
      <w:pPr>
        <w:spacing w:after="160"/>
        <w:jc w:val="both"/>
      </w:pPr>
      <w:r>
        <w:rPr>
          <w:b/>
          <w:bCs/>
        </w:rPr>
        <w:t xml:space="preserve">3.</w:t>
      </w:r>
      <w:r>
        <w:t xml:space="preserve"> ¿Existe en Colombia algún medicamento con psilocibina o psilocina que tenga registro sanitario, o que esté incluido como medicamento de control especial o monopolio del Estado?</w:t>
      </w:r>
    </w:p>
    <w:p>
      <w:pPr>
        <w:spacing w:after="160"/>
        <w:jc w:val="both"/>
      </w:pPr>
      <w:r>
        <w:rPr>
          <w:b/>
          <w:bCs/>
        </w:rPr>
        <w:t xml:space="preserve">4.</w:t>
      </w:r>
      <w:r>
        <w:t xml:space="preserve"> ¿Existe algún proyecto de resolución, estudio técnico, mesa de trabajo o solicitud en trámite para modificar la clasificación de la psilocibina o regular su uso científico o médico? Solicito indicar su estado.</w:t>
      </w:r>
    </w:p>
    <w:p>
      <w:pPr>
        <w:spacing w:after="160"/>
        <w:jc w:val="both"/>
      </w:pPr>
      <w:r>
        <w:rPr>
          <w:b/>
          <w:bCs/>
        </w:rPr>
        <w:t xml:space="preserve">5.</w:t>
      </w:r>
      <w:r>
        <w:t xml:space="preserve"> ¿Qué acciones, programas o lineamientos ha adoptado o prevé adoptar el FNE para desarrollar la línea de la Política Nacional de Drogas 2023-2033 sobre investigación científica de la psilocibina proveniente de los hongos?</w:t>
      </w:r>
    </w:p>
    <w:p>
      <w:pPr>
        <w:pStyle w:val="Heading2"/>
      </w:pPr>
      <w:r>
        <w:t xml:space="preserve">B. Hongos, esporas y productos</w:t>
      </w:r>
    </w:p>
    <w:p>
      <w:pPr>
        <w:spacing w:after="160"/>
        <w:jc w:val="both"/>
      </w:pPr>
      <w:r>
        <w:rPr>
          <w:b/>
          <w:bCs/>
        </w:rPr>
        <w:t xml:space="preserve">6.</w:t>
      </w:r>
      <w:r>
        <w:t xml:space="preserve"> ¿La fiscalización de la psilocibina y la psilocina, extendida por el artículo 3 de la Resolución 315 de 2020 "a las mezclas y productos que las contengan", comprende los hongos que las producen, en estado fresco, seco, pulverizado o en extracto, y los productos elaborados con ellos, como chocolates, cápsulas o infusiones?</w:t>
      </w:r>
    </w:p>
    <w:p>
      <w:pPr>
        <w:spacing w:after="160"/>
        <w:jc w:val="both"/>
      </w:pPr>
      <w:r>
        <w:rPr>
          <w:b/>
          <w:bCs/>
        </w:rPr>
        <w:t xml:space="preserve">7.</w:t>
      </w:r>
      <w:r>
        <w:t xml:space="preserve"> El concepto técnico del artículo 3 exige adjuntar "la ficha técnica y certificado analítico". ¿Cómo se aplica ese procedimiento a un hongo en estado natural, que no tiene ficha técnica? ¿Qué otra vía existe para obtener un pronunciamiento del FNE sobre él?</w:t>
      </w:r>
    </w:p>
    <w:p>
      <w:pPr>
        <w:spacing w:after="160"/>
        <w:jc w:val="both"/>
      </w:pPr>
      <w:r>
        <w:rPr>
          <w:b/>
          <w:bCs/>
        </w:rPr>
        <w:t xml:space="preserve">8.</w:t>
      </w:r>
      <w:r>
        <w:t xml:space="preserve"> Frente a lo señalado por la JIFE en su Informe Anual de 2010, ¿ha adoptado Colombia alguna medida nacional expresa de fiscalización de los hongos que contienen psilocibina? ¿En qué norma consta?</w:t>
      </w:r>
    </w:p>
    <w:p>
      <w:pPr>
        <w:spacing w:after="160"/>
        <w:jc w:val="both"/>
      </w:pPr>
      <w:r>
        <w:rPr>
          <w:b/>
          <w:bCs/>
        </w:rPr>
        <w:t xml:space="preserve">9.</w:t>
      </w:r>
      <w:r>
        <w:t xml:space="preserve"> ¿Están fiscalizados las esporas, el micelio, los esclerocios ("trufas"), los cultivos líquidos y los kits o sustratos para cultivar especies que producen psilocibina? Si lo están, ¿qué autorización exige su tenencia, importación, compra o venta?</w:t>
      </w:r>
    </w:p>
    <w:p>
      <w:pPr>
        <w:spacing w:after="160"/>
        <w:jc w:val="both"/>
      </w:pPr>
      <w:r>
        <w:rPr>
          <w:b/>
          <w:bCs/>
        </w:rPr>
        <w:t xml:space="preserve">10.</w:t>
      </w:r>
      <w:r>
        <w:t xml:space="preserve"> ¿Existe una concentración mínima de psilocibina o psilocina por debajo de la cual una muestra o un producto no está fiscalizado? ¿Con qué método y en qué documento lo determina el FNE?</w:t>
      </w:r>
    </w:p>
    <w:p>
      <w:pPr>
        <w:spacing w:after="160"/>
        <w:jc w:val="both"/>
      </w:pPr>
      <w:r>
        <w:rPr>
          <w:b/>
          <w:bCs/>
        </w:rPr>
        <w:t xml:space="preserve">11.</w:t>
      </w:r>
      <w:r>
        <w:t xml:space="preserve"> ¿Qué entidad es competente para autorizar cada una de estas actividades con psilocibina u hongos que la contienen: tenencia en laboratorio, importación, síntesis o extracción, cultivo con fines científicos, análisis de muestras e investigación con personas?</w:t>
      </w:r>
    </w:p>
    <w:p>
      <w:pPr>
        <w:pStyle w:val="Heading2"/>
      </w:pPr>
      <w:r>
        <w:t xml:space="preserve">C. Quién puede inscribirse para investigar</w:t>
      </w:r>
    </w:p>
    <w:p>
      <w:pPr>
        <w:spacing w:after="160"/>
        <w:jc w:val="both"/>
      </w:pPr>
      <w:r>
        <w:rPr>
          <w:b/>
          <w:bCs/>
        </w:rPr>
        <w:t xml:space="preserve">12.</w:t>
      </w:r>
      <w:r>
        <w:t xml:space="preserve"> El parágrafo 2 del artículo 11 incluye entre las actividades de investigación la ejecución de un proyecto "a cargo de una institución de educación superior o institución en la cual se requiera la experimentación con sustancias controladas". ¿Puede inscribirse en esa modalidad una entidad sin ánimo de lucro, como una asociación, corporación o fundación? ¿O debe ser una institución de educación superior, un centro de investigación reconocido por Minciencias, una IPS o un laboratorio con alguna habilitación especial?</w:t>
      </w:r>
    </w:p>
    <w:p>
      <w:pPr>
        <w:spacing w:after="160"/>
        <w:jc w:val="both"/>
      </w:pPr>
      <w:r>
        <w:rPr>
          <w:b/>
          <w:bCs/>
        </w:rPr>
        <w:t xml:space="preserve">13.</w:t>
      </w:r>
      <w:r>
        <w:t xml:space="preserve"> El artículo 11 se refiere a "personas naturales y/o jurídicas". ¿Qué requisitos debe cumplir una persona natural, por ejemplo un investigador o un químico independiente, teniendo en cuenta que el numeral 1 exige indicar el NIT y el numeral 5 un lugar para las actividades?</w:t>
      </w:r>
    </w:p>
    <w:p>
      <w:pPr>
        <w:spacing w:after="160"/>
        <w:jc w:val="both"/>
      </w:pPr>
      <w:r>
        <w:rPr>
          <w:b/>
          <w:bCs/>
        </w:rPr>
        <w:t xml:space="preserve">14.</w:t>
      </w:r>
      <w:r>
        <w:t xml:space="preserve"> ¿Qué debe decir, como mínimo, el objeto social de una entidad para que su inscripción sea viable? ¿Hay requisitos de antigüedad, patrimonio o experiencia?</w:t>
      </w:r>
    </w:p>
    <w:p>
      <w:pPr>
        <w:spacing w:after="160"/>
        <w:jc w:val="both"/>
      </w:pPr>
      <w:r>
        <w:rPr>
          <w:b/>
          <w:bCs/>
        </w:rPr>
        <w:t xml:space="preserve">15.</w:t>
      </w:r>
      <w:r>
        <w:t xml:space="preserve"> ¿Puede una persona natural, o una entidad que aún no tenga NIT, pedir orientación previa sobre un proyecto de investigación antes de iniciar el trámite de inscripción?</w:t>
      </w:r>
    </w:p>
    <w:p>
      <w:pPr>
        <w:pStyle w:val="Heading2"/>
      </w:pPr>
      <w:r>
        <w:t xml:space="preserve">D. Requisitos y trámite de la inscripción</w:t>
      </w:r>
    </w:p>
    <w:p>
      <w:pPr>
        <w:spacing w:after="160"/>
        <w:jc w:val="both"/>
      </w:pPr>
      <w:r>
        <w:rPr>
          <w:b/>
          <w:bCs/>
        </w:rPr>
        <w:t xml:space="preserve">16.</w:t>
      </w:r>
      <w:r>
        <w:t xml:space="preserve"> ¿Cuáles son todos los requisitos, documentos y formatos para la inscripción del artículo 11? ¿Por qué canal se radica, cuánto cuesta, en qué plazo se resuelve, cuánto tiempo está vigente y cómo se renueva?</w:t>
      </w:r>
    </w:p>
    <w:p>
      <w:pPr>
        <w:spacing w:after="160"/>
        <w:jc w:val="both"/>
      </w:pPr>
      <w:r>
        <w:rPr>
          <w:b/>
          <w:bCs/>
        </w:rPr>
        <w:t xml:space="preserve">17.</w:t>
      </w:r>
      <w:r>
        <w:t xml:space="preserve"> El numeral 6 del artículo 11 exige el certificado de Buenas Prácticas de Laboratorio del Invima "en los casos que aplique" o un acta de visita "con concepto favorable de las condiciones mínimas para el manejo de sustancias sometidas a fiscalización". ¿En qué casos aplica el certificado? ¿Cuáles son esas condiciones mínimas, en qué norma están y quién hace la visita?</w:t>
      </w:r>
    </w:p>
    <w:p>
      <w:pPr>
        <w:spacing w:after="160"/>
        <w:jc w:val="both"/>
      </w:pPr>
      <w:r>
        <w:rPr>
          <w:b/>
          <w:bCs/>
        </w:rPr>
        <w:t xml:space="preserve">18.</w:t>
      </w:r>
      <w:r>
        <w:t xml:space="preserve"> ¿Qué condiciones de seguridad y almacenamiento exige el FNE, como caja fuerte, control de acceso, cámaras o libros de control? ¿Hay cantidades máximas de psilocibina o psilocina que una persona inscrita pueda tener?</w:t>
      </w:r>
    </w:p>
    <w:p>
      <w:pPr>
        <w:spacing w:after="160"/>
        <w:jc w:val="both"/>
      </w:pPr>
      <w:r>
        <w:rPr>
          <w:b/>
          <w:bCs/>
        </w:rPr>
        <w:t xml:space="preserve">19.</w:t>
      </w:r>
      <w:r>
        <w:t xml:space="preserve"> El numeral 8 del artículo 11 exige acreditar "el vínculo contractual del Director Técnico con el establecimiento". ¿Basta un contrato de prestación de servicios? ¿Puede una misma persona ser director técnico de varias entidades?</w:t>
      </w:r>
    </w:p>
    <w:p>
      <w:pPr>
        <w:spacing w:after="160"/>
        <w:jc w:val="both"/>
      </w:pPr>
      <w:r>
        <w:rPr>
          <w:b/>
          <w:bCs/>
        </w:rPr>
        <w:t xml:space="preserve">20.</w:t>
      </w:r>
      <w:r>
        <w:t xml:space="preserve"> ¿Qué debe contener la justificación del uso que exige el numeral 4? ¿Se exige protocolo, aval de un comité de ética o cálculo de cantidades? Según el parágrafo 3, ¿qué objetivos de investigación se consideran autorizados y cuáles no?</w:t>
      </w:r>
    </w:p>
    <w:p>
      <w:pPr>
        <w:spacing w:after="160"/>
        <w:jc w:val="both"/>
      </w:pPr>
      <w:r>
        <w:rPr>
          <w:b/>
          <w:bCs/>
        </w:rPr>
        <w:t xml:space="preserve">21.</w:t>
      </w:r>
      <w:r>
        <w:t xml:space="preserve"> ¿Qué implica una inscripción limitada a material de referencia certificado? ¿Sirve para tener psilocibina o psilocina como patrón analítico?</w:t>
      </w:r>
    </w:p>
    <w:p>
      <w:pPr>
        <w:pStyle w:val="Heading2"/>
      </w:pPr>
      <w:r>
        <w:t xml:space="preserve">E. Cómo obtener la sustancia</w:t>
      </w:r>
    </w:p>
    <w:p>
      <w:pPr>
        <w:spacing w:after="160"/>
        <w:jc w:val="both"/>
      </w:pPr>
      <w:r>
        <w:rPr>
          <w:b/>
          <w:bCs/>
        </w:rPr>
        <w:t xml:space="preserve">22.</w:t>
      </w:r>
      <w:r>
        <w:t xml:space="preserve"> ¿Hay en Colombia personas inscritas que puedan vender o suministrar psilocibina o psilocina, como material de referencia o como materia prima? ¿Cómo se consulta ese listado?</w:t>
      </w:r>
    </w:p>
    <w:p>
      <w:pPr>
        <w:spacing w:after="160"/>
        <w:jc w:val="both"/>
      </w:pPr>
      <w:r>
        <w:rPr>
          <w:b/>
          <w:bCs/>
        </w:rPr>
        <w:t xml:space="preserve">23.</w:t>
      </w:r>
      <w:r>
        <w:t xml:space="preserve"> Para importarlas, ¿qué trámites se requieren ante el FNE y ante otras entidades, como certificado o autorización de importación, cupo o previsión y licencia o registro de importación? ¿Debe Colombia reportar previsiones o evaluaciones ante la JIFE para autorizar esa importación? ¿Cuánto tardan estos trámites?</w:t>
      </w:r>
    </w:p>
    <w:p>
      <w:pPr>
        <w:spacing w:after="160"/>
        <w:jc w:val="both"/>
      </w:pPr>
      <w:r>
        <w:rPr>
          <w:b/>
          <w:bCs/>
        </w:rPr>
        <w:t xml:space="preserve">24.</w:t>
      </w:r>
      <w:r>
        <w:t xml:space="preserve"> El parágrafo del artículo 13 exige obtener cupo cuando la síntesis o purificación "tenga como resultado la producción nacional de una sustancia controlada". ¿Puede una persona inscrita sintetizar psilocibina o extraerla de hongos con fines de investigación? ¿Qué trámite de cupo aplica?</w:t>
      </w:r>
    </w:p>
    <w:p>
      <w:pPr>
        <w:spacing w:after="160"/>
        <w:jc w:val="both"/>
      </w:pPr>
      <w:r>
        <w:rPr>
          <w:b/>
          <w:bCs/>
        </w:rPr>
        <w:t xml:space="preserve">25.</w:t>
      </w:r>
      <w:r>
        <w:t xml:space="preserve"> El artículo 3 de la Ley 30 de 1986 sujeta el cultivo de plantas de las que se producen estupefacientes a "la reglamentación que para el efecto expida el Ministerio de Salud". ¿Existe reglamentación para cultivar con fines científicos hongos que producen psilocibina? Si no existe, ¿cuál es la vía para obtener autorización?</w:t>
      </w:r>
    </w:p>
    <w:p>
      <w:pPr>
        <w:spacing w:after="160"/>
        <w:jc w:val="both"/>
      </w:pPr>
      <w:r>
        <w:rPr>
          <w:b/>
          <w:bCs/>
        </w:rPr>
        <w:t xml:space="preserve">26.</w:t>
      </w:r>
      <w:r>
        <w:t xml:space="preserve"> El artículo 11 exige verificar que las muestras "provengan de personas inscritas ante el Fondo Nacional de Estupefacientes". ¿Cómo se acredita esa procedencia cuando la muestra es un hongo recolectado en su medio natural?</w:t>
      </w:r>
    </w:p>
    <w:p>
      <w:pPr>
        <w:pStyle w:val="Heading2"/>
      </w:pPr>
      <w:r>
        <w:t xml:space="preserve">F. Investigación por medio de terceros y análisis de muestras</w:t>
      </w:r>
    </w:p>
    <w:p>
      <w:pPr>
        <w:spacing w:after="160"/>
        <w:jc w:val="both"/>
      </w:pPr>
      <w:r>
        <w:rPr>
          <w:b/>
          <w:bCs/>
        </w:rPr>
        <w:t xml:space="preserve">27.</w:t>
      </w:r>
      <w:r>
        <w:t xml:space="preserve"> El parágrafo 2 del artículo 11 incluye en esta modalidad "la tercerización de las actividades de investigación". ¿Puede una persona natural o una entidad sin ánimo de lucro, sin estar inscrita, financiar o contratar investigación con psilocibina a cargo de una universidad o un laboratorio inscrito? ¿Qué obligaciones y responsabilidades tendría quien financia o contrata?</w:t>
      </w:r>
    </w:p>
    <w:p>
      <w:pPr>
        <w:spacing w:after="160"/>
        <w:jc w:val="both"/>
      </w:pPr>
      <w:r>
        <w:rPr>
          <w:b/>
          <w:bCs/>
        </w:rPr>
        <w:t xml:space="preserve">28.</w:t>
      </w:r>
      <w:r>
        <w:t xml:space="preserve"> El parágrafo 1 del artículo 11 dispone que los laboratorios que realicen análisis "en el orden de gramos, diferentes a la cuantificación" no requieren inscripción, y la Resolución 2100 de 2025 incluye los "servicios de análisis de sustancias". ¿En qué condiciones puede un laboratorio analizar hongos o productos con psilocibina entregados por particulares, por ejemplo para identificar su contenido? ¿Qué debe hacerse con el remanente de la muestra?</w:t>
      </w:r>
    </w:p>
    <w:p>
      <w:pPr>
        <w:pStyle w:val="Heading2"/>
      </w:pPr>
      <w:r>
        <w:t xml:space="preserve">G. Obligaciones de quien se inscribe</w:t>
      </w:r>
    </w:p>
    <w:p>
      <w:pPr>
        <w:spacing w:after="160"/>
        <w:jc w:val="both"/>
      </w:pPr>
      <w:r>
        <w:rPr>
          <w:b/>
          <w:bCs/>
        </w:rPr>
        <w:t xml:space="preserve">29.</w:t>
      </w:r>
      <w:r>
        <w:t xml:space="preserve"> ¿Qué libros, registros e informes periódicos debe llevar y presentar la persona inscrita? ¿Con qué frecuencia la inspecciona el FNE?</w:t>
      </w:r>
    </w:p>
    <w:p>
      <w:pPr>
        <w:spacing w:after="160"/>
        <w:jc w:val="both"/>
      </w:pPr>
      <w:r>
        <w:rPr>
          <w:b/>
          <w:bCs/>
        </w:rPr>
        <w:t xml:space="preserve">30.</w:t>
      </w:r>
      <w:r>
        <w:t xml:space="preserve"> ¿Cómo se transporta la sustancia entre sedes o hacia aliados, cómo se destruyen los remanentes y residuos, y qué debe hacerse ante una pérdida o un hurto?</w:t>
      </w:r>
    </w:p>
    <w:p>
      <w:pPr>
        <w:spacing w:after="160"/>
        <w:jc w:val="both"/>
      </w:pPr>
      <w:r>
        <w:rPr>
          <w:b/>
          <w:bCs/>
        </w:rPr>
        <w:t xml:space="preserve">31.</w:t>
      </w:r>
      <w:r>
        <w:t xml:space="preserve"> ¿Qué sanciones administrativas aplica el FNE por incumplir estas obligaciones?</w:t>
      </w:r>
    </w:p>
    <w:p>
      <w:pPr>
        <w:pStyle w:val="Heading2"/>
      </w:pPr>
      <w:r>
        <w:t xml:space="preserve">H. Investigación con personas</w:t>
      </w:r>
    </w:p>
    <w:p>
      <w:pPr>
        <w:spacing w:after="160"/>
        <w:jc w:val="both"/>
      </w:pPr>
      <w:r>
        <w:rPr>
          <w:b/>
          <w:bCs/>
        </w:rPr>
        <w:t xml:space="preserve">32.</w:t>
      </w:r>
      <w:r>
        <w:t xml:space="preserve"> Si la investigación incluye administrar psilocibina a personas, ¿qué autorizaciones se requieren del FNE, del Invima y de otras entidades? ¿Cómo se articulan con la Resolución 2378 de 2008 (Buenas Prácticas Clínicas) y la Resolución 8430 de 1993 (investigación en salud)?</w:t>
      </w:r>
    </w:p>
    <w:p>
      <w:pPr>
        <w:spacing w:after="160"/>
        <w:jc w:val="both"/>
      </w:pPr>
      <w:r>
        <w:rPr>
          <w:b/>
          <w:bCs/>
        </w:rPr>
        <w:t xml:space="preserve">33.</w:t>
      </w:r>
      <w:r>
        <w:t xml:space="preserve"> ¿Cómo se importa psilocibina de grado farmacéutico para un ensayo clínico aprobado? ¿Existe en Colombia alguna vía de uso compasivo o de acceso especial para pacientes?</w:t>
      </w:r>
    </w:p>
    <w:p>
      <w:pPr>
        <w:pStyle w:val="Heading2"/>
      </w:pPr>
      <w:r>
        <w:t xml:space="preserve">I. Información y documentos</w:t>
      </w:r>
    </w:p>
    <w:p>
      <w:pPr>
        <w:spacing w:after="160"/>
        <w:jc w:val="both"/>
      </w:pPr>
      <w:r>
        <w:t xml:space="preserve">Solicito la siguiente información en forma agregada y, si alguna parte fuera reservada, en versión pública:</w:t>
      </w:r>
    </w:p>
    <w:p>
      <w:pPr>
        <w:spacing w:after="160"/>
        <w:jc w:val="both"/>
      </w:pPr>
      <w:r>
        <w:rPr>
          <w:b/>
          <w:bCs/>
        </w:rPr>
        <w:t xml:space="preserve">34.</w:t>
      </w:r>
      <w:r>
        <w:t xml:space="preserve"> Número de inscripciones vigentes que incluyen psilocibina o psilocina, por tipo de titular: universidad, laboratorio, IPS, persona natural u otro.</w:t>
      </w:r>
    </w:p>
    <w:p>
      <w:pPr>
        <w:spacing w:after="160"/>
        <w:jc w:val="both"/>
      </w:pPr>
      <w:r>
        <w:rPr>
          <w:b/>
          <w:bCs/>
        </w:rPr>
        <w:t xml:space="preserve">35.</w:t>
      </w:r>
      <w:r>
        <w:t xml:space="preserve"> Número de solicitudes recibidas desde 2020 sobre psilocibina, psilocina u hongos que las contienen, por tipo de trámite (inscripción, importación, cupo, concepto técnico) y su resultado.</w:t>
      </w:r>
    </w:p>
    <w:p>
      <w:pPr>
        <w:spacing w:after="160"/>
        <w:jc w:val="both"/>
      </w:pPr>
      <w:r>
        <w:rPr>
          <w:b/>
          <w:bCs/>
        </w:rPr>
        <w:t xml:space="preserve">36.</w:t>
      </w:r>
      <w:r>
        <w:t xml:space="preserve"> Cantidades de psilocibina y psilocina importadas, fabricadas o usadas lícitamente en Colombia desde 2020, y las reportadas a la JIFE.</w:t>
      </w:r>
    </w:p>
    <w:p>
      <w:pPr>
        <w:spacing w:after="160"/>
        <w:jc w:val="both"/>
      </w:pPr>
      <w:r>
        <w:rPr>
          <w:b/>
          <w:bCs/>
        </w:rPr>
        <w:t xml:space="preserve">37.</w:t>
      </w:r>
      <w:r>
        <w:t xml:space="preserve"> Copia, en versión pública, de los conceptos técnicos emitidos por el FNE desde 2020 sobre hongos o productos que contengan psilocibina o psilocina.</w:t>
      </w:r>
    </w:p>
    <w:p>
      <w:pPr>
        <w:spacing w:after="160"/>
        <w:jc w:val="both"/>
      </w:pPr>
      <w:r>
        <w:rPr>
          <w:b/>
          <w:bCs/>
        </w:rPr>
        <w:t xml:space="preserve">38.</w:t>
      </w:r>
      <w:r>
        <w:t xml:space="preserve"> Copia de los formatos, guías, instructivos y circulares vigentes del FNE sobre la inscripción del artículo 11 de la Resolución 315 de 2020 y sobre la psilocibina o los hongos que la contienen.</w:t>
      </w:r>
    </w:p>
    <w:p>
      <w:pPr>
        <w:pStyle w:val="Heading2"/>
      </w:pPr>
      <w:r>
        <w:t xml:space="preserve">J. Actividades que no implican la sustancia</w:t>
      </w:r>
    </w:p>
    <w:p>
      <w:pPr>
        <w:spacing w:after="160"/>
        <w:jc w:val="both"/>
      </w:pPr>
      <w:r>
        <w:rPr>
          <w:b/>
          <w:bCs/>
        </w:rPr>
        <w:t xml:space="preserve">39.</w:t>
      </w:r>
      <w:r>
        <w:t xml:space="preserve"> ¿Requieren alguna autorización o reporte ante el FNE las actividades de personas naturales o entidades sin ánimo de lucro que no implican tener ni manipular la sustancia, como educación, revisión de literatura, encuestas, eventos académicos o participación en el debate público?</w:t>
      </w:r>
    </w:p>
    <w:p>
      <w:pPr>
        <w:spacing w:after="160"/>
        <w:jc w:val="both"/>
      </w:pPr>
      <w:r>
        <w:rPr>
          <w:b/>
          <w:bCs/>
        </w:rPr>
        <w:t xml:space="preserve">40.</w:t>
      </w:r>
      <w:r>
        <w:t xml:space="preserve"> El artículo 9 de la Ley 30 de 1986 dispone que toda campaña "tendiente a evitar los cultivos y la producción, tráfico y consumo de sustancias estupefacientes" debe ser "dirigida y supervisada por el Consejo Nacional de Estupefacientes". El literal d) del artículo 91 le asigna a ese Consejo "supervisar la actividad de las entidades estatales y privadas que se ocupan de la prevención e investigación científica". ¿Debe una entidad privada sin ánimo de lucro que realice actividades educativas, de investigación o de reducción de riesgos sobre estas sustancias registrarse, pedir autorización o reportar esas actividades ante ese Consejo? ¿Cómo se hace?</w:t>
      </w:r>
    </w:p>
    <w:p>
      <w:pPr>
        <w:pStyle w:val="Heading1"/>
      </w:pPr>
      <w:r>
        <w:t xml:space="preserve">Fundamentos de derecho</w:t>
      </w:r>
    </w:p>
    <w:p>
      <w:pPr>
        <w:pStyle w:val="ListParagraph"/>
        <w:numPr>
          <w:ilvl w:val="0"/>
          <w:numId w:val="3"/>
        </w:numPr>
        <w:spacing w:after="120"/>
        <w:jc w:val="both"/>
      </w:pPr>
      <w:r>
        <w:rPr>
          <w:b/>
          <w:bCs/>
        </w:rPr>
        <w:t xml:space="preserve">Derecho de petición.</w:t>
      </w:r>
      <w:r>
        <w:t xml:space="preserve"> El artículo 23 de la Constitución Política reconoce a toda persona el derecho "a presentar peticiones respetuosas a las autoridades por motivos de interés general o particular y a obtener pronta resolución". El artículo 13 de la Ley 1437 de 2011, sustituido por la Ley 1755 de 2015, precisa que ese derecho comprende obtener "pronta resolución completa y de fondo".</w:t>
      </w:r>
    </w:p>
    <w:p>
      <w:pPr>
        <w:pStyle w:val="ListParagraph"/>
        <w:numPr>
          <w:ilvl w:val="0"/>
          <w:numId w:val="3"/>
        </w:numPr>
        <w:spacing w:after="120"/>
        <w:jc w:val="both"/>
      </w:pPr>
      <w:r>
        <w:rPr>
          <w:b/>
          <w:bCs/>
        </w:rPr>
        <w:t xml:space="preserve">Modalidades y términos.</w:t>
      </w:r>
      <w:r>
        <w:t xml:space="preserve"> Esta petición combina dos modalidades del artículo 14 de la misma ley:</w:t>
      </w:r>
    </w:p>
    <w:p>
      <w:pPr>
        <w:pStyle w:val="ListParagraph"/>
        <w:numPr>
          <w:ilvl w:val="1"/>
          <w:numId w:val="4"/>
        </w:numPr>
        <w:spacing w:after="80"/>
        <w:jc w:val="both"/>
      </w:pPr>
      <w:r>
        <w:rPr>
          <w:b/>
          <w:bCs/>
        </w:rPr>
        <w:t xml:space="preserve">Consulta</w:t>
      </w:r>
      <w:r>
        <w:t xml:space="preserve"> (numeral 2), con término de treinta (30) días: secciones A a H y J.</w:t>
      </w:r>
    </w:p>
    <w:p>
      <w:pPr>
        <w:pStyle w:val="ListParagraph"/>
        <w:numPr>
          <w:ilvl w:val="1"/>
          <w:numId w:val="4"/>
        </w:numPr>
        <w:spacing w:after="80"/>
        <w:jc w:val="both"/>
      </w:pPr>
      <w:r>
        <w:rPr>
          <w:b/>
          <w:bCs/>
        </w:rPr>
        <w:t xml:space="preserve">Solicitud de información y documentos</w:t>
      </w:r>
      <w:r>
        <w:t xml:space="preserve"> (numeral 1), con término de diez (10) días: sección I. Según ese numeral, si no hay respuesta en ese plazo, "se entenderá, para todos los efectos legales, que la respectiva solicitud ha sido aceptada", y las copias "se entregarán dentro de los tres (3) días siguientes".</w:t>
      </w:r>
    </w:p>
    <w:p>
      <w:pPr>
        <w:pStyle w:val="ListParagraph"/>
        <w:numPr>
          <w:ilvl w:val="1"/>
          <w:numId w:val="4"/>
        </w:numPr>
        <w:spacing w:after="80"/>
        <w:jc w:val="both"/>
      </w:pPr>
      <w:r>
        <w:t xml:space="preserve">Si no es posible responder dentro de esos plazos, solicito que se me informe antes de su vencimiento, como lo exige el parágrafo del artículo 14.</w:t>
      </w:r>
    </w:p>
    <w:p>
      <w:pPr>
        <w:pStyle w:val="ListParagraph"/>
        <w:numPr>
          <w:ilvl w:val="0"/>
          <w:numId w:val="3"/>
        </w:numPr>
        <w:spacing w:after="120"/>
        <w:jc w:val="both"/>
      </w:pPr>
      <w:r>
        <w:rPr>
          <w:b/>
          <w:bCs/>
        </w:rPr>
        <w:t xml:space="preserve">Acceso a la información pública.</w:t>
      </w:r>
      <w:r>
        <w:t xml:space="preserve"> Según la Ley 1712 de 2014, "el acceso a la información solamente podrá ser restringido excepcionalmente" (artículo 4). Si parte de un documento es reservada, debe entregarse "una versión pública que mantenga la reserva únicamente de la parte indispensable" (artículo 21), y corresponde a la entidad aportar "las razones y pruebas" que fundamenten la reserva (artículo 28). El artículo 25 de la Ley 1437 de 2011, sustituido por la Ley 1755 de 2015, exige además que toda decisión que rechace una petición de información sea motivada e indique "en forma precisa las disposiciones legales que impiden la entrega".</w:t>
      </w:r>
    </w:p>
    <w:p>
      <w:pPr>
        <w:pStyle w:val="ListParagraph"/>
        <w:numPr>
          <w:ilvl w:val="0"/>
          <w:numId w:val="3"/>
        </w:numPr>
        <w:spacing w:after="120"/>
        <w:jc w:val="both"/>
      </w:pPr>
      <w:r>
        <w:rPr>
          <w:b/>
          <w:bCs/>
        </w:rPr>
        <w:t xml:space="preserve">Competencia del FNE.</w:t>
      </w:r>
      <w:r>
        <w:t xml:space="preserve"> Según el artículo 20 del Decreto 205 de 2003, ratificado por el artículo 26 del Decreto 4107 de 2011, el objetivo del FNE es "la vigilancia y control sobre la importación, la exportación, la distribución y venta de drogas, medicamentos, materias primas o precursores de control especial a que se refiere la Ley 30 de 1986".</w:t>
      </w:r>
    </w:p>
    <w:p>
      <w:pPr>
        <w:pStyle w:val="Heading1"/>
      </w:pPr>
      <w:r>
        <w:t xml:space="preserve">Solicitudes sobre la respuesta</w:t>
      </w:r>
    </w:p>
    <w:p>
      <w:pPr>
        <w:pStyle w:val="ListParagraph"/>
        <w:numPr>
          <w:ilvl w:val="0"/>
          <w:numId w:val="4"/>
        </w:numPr>
        <w:spacing w:after="120"/>
        <w:jc w:val="both"/>
      </w:pPr>
      <w:r>
        <w:t xml:space="preserve">Que se me informe el número de radicado asignado a esta petición.</w:t>
      </w:r>
    </w:p>
    <w:p>
      <w:pPr>
        <w:pStyle w:val="ListParagraph"/>
        <w:numPr>
          <w:ilvl w:val="0"/>
          <w:numId w:val="4"/>
        </w:numPr>
        <w:spacing w:after="120"/>
        <w:jc w:val="both"/>
      </w:pPr>
      <w:r>
        <w:t xml:space="preserve">Que la respuesta se organice con la misma numeración de las preguntas.</w:t>
      </w:r>
    </w:p>
    <w:p>
      <w:pPr>
        <w:pStyle w:val="ListParagraph"/>
        <w:numPr>
          <w:ilvl w:val="0"/>
          <w:numId w:val="4"/>
        </w:numPr>
        <w:spacing w:after="120"/>
        <w:jc w:val="both"/>
      </w:pPr>
      <w:r>
        <w:t xml:space="preserve">Que, si alguna pregunta corresponde a otra entidad, como el Invima, el Ministerio de Salud y Protección Social o el Consejo Nacional de Estupefacientes, el FNE la remita dentro de los cinco (5) días siguientes a su recepción, con copia a mí, como lo ordena el artículo 21 de la Ley 1437 de 2011, sustituido por la Ley 1755 de 2015.</w:t>
      </w:r>
    </w:p>
    <w:p>
      <w:pPr>
        <w:pStyle w:val="ListParagraph"/>
        <w:numPr>
          <w:ilvl w:val="0"/>
          <w:numId w:val="4"/>
        </w:numPr>
        <w:spacing w:after="120"/>
        <w:jc w:val="both"/>
      </w:pPr>
      <w:r>
        <w:t xml:space="preserve">Que se me entregue copia de las normas, conceptos o documentos en que se funde cada respuesta.</w:t>
      </w:r>
    </w:p>
    <w:p>
      <w:pPr>
        <w:pStyle w:val="Heading1"/>
      </w:pPr>
      <w:r>
        <w:t xml:space="preserve">Notificaciones</w:t>
      </w:r>
    </w:p>
    <w:p>
      <w:pPr>
        <w:spacing w:after="160"/>
        <w:jc w:val="both"/>
      </w:pPr>
      <w:r>
        <w:t xml:space="preserve">Recibiré la respuesta únicamente en el correo electrónico [correo electrónico]. Autorizo que la respuesta y cualquier comunicación sobre esta petición se me notifiquen por ese medio.</w:t>
      </w:r>
    </w:p>
    <w:p>
      <w:pPr>
        <w:spacing w:after="720" w:before="240"/>
      </w:pPr>
      <w:r>
        <w:t xml:space="preserve">Atentamente,</w:t>
      </w:r>
    </w:p>
    <w:p>
      <w:pPr>
        <w:spacing w:after="0"/>
      </w:pPr>
      <w:r>
        <w:t xml:space="preserve">[Firma]</w:t>
      </w:r>
    </w:p>
    <w:p>
      <w:pPr>
        <w:spacing w:after="0"/>
      </w:pPr>
      <w:r>
        <w:t xml:space="preserve">[Nombre completo]</w:t>
      </w:r>
    </w:p>
    <w:p>
      <w:pPr>
        <w:spacing w:after="0"/>
      </w:pPr>
      <w:r>
        <w:t xml:space="preserve">C.C. [número]</w:t>
      </w:r>
    </w:p>
    <w:p>
      <w:pPr>
        <w:spacing w:after="240"/>
      </w:pPr>
      <w:r>
        <w:t xml:space="preserve">[correo electrónico]</w:t>
      </w:r>
    </w:p>
    <w:p>
      <w:r>
        <w:br w:type="page"/>
      </w:r>
    </w:p>
    <w:p>
      <w:pPr>
        <w:pStyle w:val="Heading1"/>
      </w:pPr>
      <w:r>
        <w:t xml:space="preserve">Fuentes de verificación (retirar antes de radicar)</w:t>
      </w:r>
    </w:p>
    <w:p>
      <w:pPr>
        <w:pStyle w:val="ListParagraph"/>
        <w:numPr>
          <w:ilvl w:val="0"/>
          <w:numId w:val="4"/>
        </w:numPr>
        <w:spacing w:after="120"/>
        <w:jc w:val="both"/>
      </w:pPr>
      <w:hyperlink w:history="1" r:id="rIdtovklxtlmnof_-4fy2pkl">
        <w:r>
          <w:rPr>
            <w:rStyle w:val="Hyperlink"/>
          </w:rPr>
          <w:t xml:space="preserve">Guía de atención al usuario del FNE</w:t>
        </w:r>
      </w:hyperlink>
      <w:r>
        <w:t xml:space="preserve">: canales de radicación y plazos de respuesta.</w:t>
      </w:r>
    </w:p>
    <w:p>
      <w:pPr>
        <w:pStyle w:val="ListParagraph"/>
        <w:numPr>
          <w:ilvl w:val="0"/>
          <w:numId w:val="4"/>
        </w:numPr>
        <w:spacing w:after="120"/>
        <w:jc w:val="both"/>
      </w:pPr>
      <w:hyperlink w:history="1" r:id="rIdvq4xr3mbnfdw_udliin2q">
        <w:r>
          <w:rPr>
            <w:rStyle w:val="Hyperlink"/>
          </w:rPr>
          <w:t xml:space="preserve">Circular Externa 002 de 2026 del FNE</w:t>
        </w:r>
      </w:hyperlink>
      <w:r>
        <w:t xml:space="preserve">: dirección, correo y competencia (Decreto 205 de 2003, art. 20; Decreto 4107 de 2011, art. 26).</w:t>
      </w:r>
    </w:p>
    <w:p>
      <w:pPr>
        <w:pStyle w:val="ListParagraph"/>
        <w:numPr>
          <w:ilvl w:val="0"/>
          <w:numId w:val="4"/>
        </w:numPr>
        <w:spacing w:after="120"/>
        <w:jc w:val="both"/>
      </w:pPr>
      <w:hyperlink w:history="1" r:id="rIdt3yzzuhyqtydytibswn45">
        <w:r>
          <w:rPr>
            <w:rStyle w:val="Hyperlink"/>
          </w:rPr>
          <w:t xml:space="preserve">Constitución Política, art. 23</w:t>
        </w:r>
      </w:hyperlink>
      <w:r>
        <w:t xml:space="preserve"> (compilación de la CRA).</w:t>
      </w:r>
    </w:p>
    <w:p>
      <w:pPr>
        <w:pStyle w:val="ListParagraph"/>
        <w:numPr>
          <w:ilvl w:val="0"/>
          <w:numId w:val="4"/>
        </w:numPr>
        <w:spacing w:after="120"/>
        <w:jc w:val="both"/>
      </w:pPr>
      <w:hyperlink w:history="1" r:id="rIdzs8isvbrqysnpiai8v8h6">
        <w:r>
          <w:rPr>
            <w:rStyle w:val="Hyperlink"/>
          </w:rPr>
          <w:t xml:space="preserve">Ley 1755 de 2015</w:t>
        </w:r>
      </w:hyperlink>
      <w:r>
        <w:t xml:space="preserve">: arts. 13, 14, 15, 21 y 25 del texto sustituido (compilación de la CRA).</w:t>
      </w:r>
    </w:p>
    <w:p>
      <w:pPr>
        <w:pStyle w:val="ListParagraph"/>
        <w:numPr>
          <w:ilvl w:val="0"/>
          <w:numId w:val="4"/>
        </w:numPr>
        <w:spacing w:after="120"/>
        <w:jc w:val="both"/>
      </w:pPr>
      <w:hyperlink w:history="1" r:id="rIdbzakszdnrk-ln-edtrn5d">
        <w:r>
          <w:rPr>
            <w:rStyle w:val="Hyperlink"/>
          </w:rPr>
          <w:t xml:space="preserve">Ley 1712 de 2014</w:t>
        </w:r>
      </w:hyperlink>
      <w:r>
        <w:t xml:space="preserve">: arts. 4, 21 y 28 (compilación de la CRA).</w:t>
      </w:r>
    </w:p>
    <w:p>
      <w:pPr>
        <w:pStyle w:val="ListParagraph"/>
        <w:numPr>
          <w:ilvl w:val="0"/>
          <w:numId w:val="4"/>
        </w:numPr>
        <w:spacing w:after="120"/>
        <w:jc w:val="both"/>
      </w:pPr>
      <w:hyperlink w:history="1" r:id="rIdd_yxafwxhgf3qtyiqrgoz">
        <w:r>
          <w:rPr>
            <w:rStyle w:val="Hyperlink"/>
          </w:rPr>
          <w:t xml:space="preserve">Resolución 315 de 2020</w:t>
        </w:r>
      </w:hyperlink>
      <w:r>
        <w:t xml:space="preserve">: arts. 3, 11 y 13 (Normograma Invima).</w:t>
      </w:r>
    </w:p>
    <w:p>
      <w:pPr>
        <w:pStyle w:val="ListParagraph"/>
        <w:numPr>
          <w:ilvl w:val="0"/>
          <w:numId w:val="4"/>
        </w:numPr>
        <w:spacing w:after="120"/>
        <w:jc w:val="both"/>
      </w:pPr>
      <w:hyperlink w:history="1" r:id="rIddfsrlclpfkv6xgrpmn_uj">
        <w:r>
          <w:rPr>
            <w:rStyle w:val="Hyperlink"/>
          </w:rPr>
          <w:t xml:space="preserve">Resolución 116 de 2026</w:t>
        </w:r>
      </w:hyperlink>
      <w:r>
        <w:t xml:space="preserve"> (copia publicada por el ICA).</w:t>
      </w:r>
    </w:p>
    <w:p>
      <w:pPr>
        <w:pStyle w:val="ListParagraph"/>
        <w:numPr>
          <w:ilvl w:val="0"/>
          <w:numId w:val="4"/>
        </w:numPr>
        <w:spacing w:after="120"/>
        <w:jc w:val="both"/>
      </w:pPr>
      <w:hyperlink w:history="1" r:id="rIdksweqolvqzxxuyt58hlsz">
        <w:r>
          <w:rPr>
            <w:rStyle w:val="Hyperlink"/>
          </w:rPr>
          <w:t xml:space="preserve">Resolución 2100 de 2025</w:t>
        </w:r>
      </w:hyperlink>
      <w:r>
        <w:t xml:space="preserve"> (Normograma Supersalud).</w:t>
      </w:r>
    </w:p>
    <w:p>
      <w:pPr>
        <w:pStyle w:val="ListParagraph"/>
        <w:numPr>
          <w:ilvl w:val="0"/>
          <w:numId w:val="4"/>
        </w:numPr>
        <w:spacing w:after="120"/>
        <w:jc w:val="both"/>
      </w:pPr>
      <w:hyperlink w:history="1" r:id="rIdifdy3kkyph60olkdz6zk6">
        <w:r>
          <w:rPr>
            <w:rStyle w:val="Hyperlink"/>
          </w:rPr>
          <w:t xml:space="preserve">Ley 30 de 1986</w:t>
        </w:r>
      </w:hyperlink>
      <w:r>
        <w:t xml:space="preserve">: arts. 3, 9 y 91 (Régimen Legal de Bogotá).</w:t>
      </w:r>
    </w:p>
    <w:p>
      <w:pPr>
        <w:pStyle w:val="ListParagraph"/>
        <w:numPr>
          <w:ilvl w:val="0"/>
          <w:numId w:val="4"/>
        </w:numPr>
        <w:spacing w:after="120"/>
        <w:jc w:val="both"/>
      </w:pPr>
      <w:hyperlink w:history="1" r:id="rIdmdm9tyztfrlserjz1kosa">
        <w:r>
          <w:rPr>
            <w:rStyle w:val="Hyperlink"/>
          </w:rPr>
          <w:t xml:space="preserve">Ley 43 de 1980</w:t>
        </w:r>
      </w:hyperlink>
      <w:r>
        <w:t xml:space="preserve"> (SIDN, Rama Judicial).</w:t>
      </w:r>
    </w:p>
    <w:p>
      <w:pPr>
        <w:pStyle w:val="ListParagraph"/>
        <w:numPr>
          <w:ilvl w:val="0"/>
          <w:numId w:val="4"/>
        </w:numPr>
        <w:spacing w:after="120"/>
        <w:jc w:val="both"/>
      </w:pPr>
      <w:hyperlink w:history="1" r:id="rIdff9l44bvqx6gloug819t8">
        <w:r>
          <w:rPr>
            <w:rStyle w:val="Hyperlink"/>
          </w:rPr>
          <w:t xml:space="preserve">Informe Anual de la JIFE 2010</w:t>
        </w:r>
      </w:hyperlink>
      <w:r>
        <w:t xml:space="preserve">: párrafos 284 a 287.</w:t>
      </w:r>
    </w:p>
    <w:p>
      <w:pPr>
        <w:pStyle w:val="ListParagraph"/>
        <w:numPr>
          <w:ilvl w:val="0"/>
          <w:numId w:val="4"/>
        </w:numPr>
        <w:spacing w:after="120"/>
        <w:jc w:val="both"/>
      </w:pPr>
      <w:hyperlink w:history="1" r:id="rIdorno4h-zdj8sptdnaross">
        <w:r>
          <w:rPr>
            <w:rStyle w:val="Hyperlink"/>
          </w:rPr>
          <w:t xml:space="preserve">Política Nacional de Drogas 2023-2033</w:t>
        </w:r>
      </w:hyperlink>
      <w:r>
        <w:t xml:space="preserve">: p. 94 del PDF (Minjusticia).</w:t>
      </w:r>
    </w:p>
    <w:p>
      <w:pPr>
        <w:pStyle w:val="ListParagraph"/>
        <w:numPr>
          <w:ilvl w:val="0"/>
          <w:numId w:val="4"/>
        </w:numPr>
        <w:spacing w:after="120"/>
        <w:jc w:val="both"/>
      </w:pPr>
      <w:hyperlink w:history="1" r:id="rIdheeynsdtqqtggw8uzbdkx">
        <w:r>
          <w:rPr>
            <w:rStyle w:val="Hyperlink"/>
          </w:rPr>
          <w:t xml:space="preserve">Alerta Sanitaria Invima 141-2025</w:t>
        </w:r>
      </w:hyperlink>
      <w:r>
        <w:t xml:space="preserve"> y </w:t>
      </w:r>
      <w:hyperlink w:history="1" r:id="rIdmsp7wxip-9knz8adseorz">
        <w:r>
          <w:rPr>
            <w:rStyle w:val="Hyperlink"/>
          </w:rPr>
          <w:t xml:space="preserve">Alerta Sanitaria Invima 247-2026</w:t>
        </w:r>
      </w:hyperlink>
      <w:r>
        <w:t xml:space="preserve">.</w:t>
      </w:r>
    </w:p>
    <w:p>
      <w:pPr>
        <w:pStyle w:val="ListParagraph"/>
        <w:numPr>
          <w:ilvl w:val="0"/>
          <w:numId w:val="4"/>
        </w:numPr>
        <w:spacing w:after="120"/>
        <w:jc w:val="both"/>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aps/>
      <w:sz w:val="24"/>
      <w:szCs w:val="24"/>
    </w:rPr>
  </w:style>
  <w:style w:type="paragraph" w:styleId="Heading2">
    <w:name w:val="Heading 2"/>
    <w:basedOn w:val="Normal"/>
    <w:next w:val="Normal"/>
    <w:qFormat/>
    <w:pPr>
      <w:spacing w:after="120" w:before="240"/>
      <w:outlineLvl w:val="1"/>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ovklxtlmnof_-4fy2pkl" Type="http://schemas.openxmlformats.org/officeDocument/2006/relationships/hyperlink" Target="https://fne.minsalud.gov.co/_catalogs/masterpage/Minsalud/assets/GuiaAtencionUsuario/GU%C3%8DA%20DE%20ATENCION%20AL%20USUARIO.pdf" TargetMode="External"/><Relationship Id="rIdvq4xr3mbnfdw_udliin2q" Type="http://schemas.openxmlformats.org/officeDocument/2006/relationships/hyperlink" Target="https://fne.minsalud.gov.co/Style%20Library/assets/Fne_paginas/Home/Banner/05022026/CIRCULAR%20EXTERNA%20002-2026%20final.pdf" TargetMode="External"/><Relationship Id="rIdt3yzzuhyqtydytibswn45" Type="http://schemas.openxmlformats.org/officeDocument/2006/relationships/hyperlink" Target="https://normas.cra.gov.co/gestor/docs/constitucion_politica_1991.htm" TargetMode="External"/><Relationship Id="rIdzs8isvbrqysnpiai8v8h6" Type="http://schemas.openxmlformats.org/officeDocument/2006/relationships/hyperlink" Target="https://normas.cra.gov.co/gestor/docs/ley_1755_2015.htm" TargetMode="External"/><Relationship Id="rIdbzakszdnrk-ln-edtrn5d" Type="http://schemas.openxmlformats.org/officeDocument/2006/relationships/hyperlink" Target="https://normas.cra.gov.co/gestor/docs/ley_1712_2014.htm" TargetMode="External"/><Relationship Id="rIdd_yxafwxhgf3qtyiqrgoz" Type="http://schemas.openxmlformats.org/officeDocument/2006/relationships/hyperlink" Target="https://normograma.invima.gov.co/compilacion/docs/resolucion_minsaludps_0315_2020.htm" TargetMode="External"/><Relationship Id="rIddfsrlclpfkv6xgrpmn_uj" Type="http://schemas.openxmlformats.org/officeDocument/2006/relationships/hyperlink" Target="https://www.ica.gov.co/getattachment/Areas/Pecuaria/Servicios/Regulacion-y-Control-de-Medicamentos-Veterinarios/Normatividad-Aplicable/Resolucion-No-116-de-2026-MECE_260219_085726_ESTUPEFACIENTES.pdf.aspx?lang=es-CO" TargetMode="External"/><Relationship Id="rIdksweqolvqzxxuyt58hlsz" Type="http://schemas.openxmlformats.org/officeDocument/2006/relationships/hyperlink" Target="https://normograma.supersalud.gov.co/compilacion/docs/resolucion_minsaludps_2100_2025.htm" TargetMode="External"/><Relationship Id="rIdifdy3kkyph60olkdz6zk6" Type="http://schemas.openxmlformats.org/officeDocument/2006/relationships/hyperlink" Target="https://www.alcaldiabogota.gov.co/sisjur/normas/Norma1.jsp?i=2774" TargetMode="External"/><Relationship Id="rIdmdm9tyztfrlserjz1kosa" Type="http://schemas.openxmlformats.org/officeDocument/2006/relationships/hyperlink" Target="https://sidn.ramajudicial.gov.co/SIDN/NORMATIVA/TEXTOS_COMPLETOS/7_LEYES/LEYES%201980/Ley%2043%20de%201980.pdf" TargetMode="External"/><Relationship Id="rIdff9l44bvqx6gloug819t8" Type="http://schemas.openxmlformats.org/officeDocument/2006/relationships/hyperlink" Target="https://www.incb.org/documents/Publications/AnnualReports/AR2010/AR_2010_English.pdf" TargetMode="External"/><Relationship Id="rIdorno4h-zdj8sptdnaross" Type="http://schemas.openxmlformats.org/officeDocument/2006/relationships/hyperlink" Target="https://www.minjusticia.gov.co/Sala-de-prensa/Documents/Pol%C3%ADtica%20Nacional%20de%20Drogas%202023-2033%20%27Sembrando%20vida,%20desterramos%20el%20narcotr%C3%A1fico%27.pdf" TargetMode="External"/><Relationship Id="rIdheeynsdtqqtggw8uzbdkx" Type="http://schemas.openxmlformats.org/officeDocument/2006/relationships/hyperlink" Target="https://www.invima.gov.co/biblioteca/alerta-sanitaria-141-2025-trippy-truffles" TargetMode="External"/><Relationship Id="rIdmsp7wxip-9knz8adseorz" Type="http://schemas.openxmlformats.org/officeDocument/2006/relationships/hyperlink" Target="https://app.invima.gov.co/alertas/ckfinder/userfiles/files/ALERTAS%20SANITARIAS/Alimentos_Bebidas/2026/Agosto/Alerta%20Sanitaria%20No%20247-2026%20Chocolate%20funcional%20con%20marcas%20Mellow%20-%20Mellowxocolat.pdf"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 de petición al Fondo Nacional de Estupefacientes</dc:title>
  <cp:lastModifiedBy>Un-named</cp:lastModifiedBy>
  <cp:revision>1</cp:revision>
  <dcterms:created xsi:type="dcterms:W3CDTF">2026-10-13T16:50:59.179Z</dcterms:created>
  <dcterms:modified xsi:type="dcterms:W3CDTF">2026-10-13T16:50:59.179Z</dcterms:modified>
</cp:coreProperties>
</file>

<file path=docProps/custom.xml><?xml version="1.0" encoding="utf-8"?>
<Properties xmlns="http://schemas.openxmlformats.org/officeDocument/2006/custom-properties" xmlns:vt="http://schemas.openxmlformats.org/officeDocument/2006/docPropsVTypes"/>
</file>