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UNIVERSIDAD EAFIT</w:t>
      </w:r>
    </w:p>
    <w:p>
      <w:pPr>
        <w:jc w:val="center"/>
      </w:pPr>
      <w:r>
        <w:rPr>
          <w:sz w:val="26"/>
        </w:rPr>
        <w:t>Análisis de Algoritmos — 2026/01</w:t>
      </w:r>
    </w:p>
    <w:p/>
    <w:p>
      <w:pPr>
        <w:jc w:val="center"/>
      </w:pPr>
      <w:r>
        <w:rPr>
          <w:b/>
          <w:color w:val="1F497D"/>
          <w:sz w:val="36"/>
        </w:rPr>
        <w:t>PRÁCTICA FINAL INTEGRADORA (15%)</w:t>
      </w:r>
    </w:p>
    <w:p/>
    <w:p>
      <w:pPr>
        <w:jc w:val="center"/>
      </w:pPr>
      <w:r>
        <w:rPr>
          <w:i/>
          <w:sz w:val="26"/>
        </w:rPr>
        <w:t>Optimización de rutas y planificación de recursos</w:t>
        <w:br/>
        <w:t>en redes de telecomunicaciones</w:t>
        <w:br/>
        <w:t>— Algoritmos Codiciosos, Divide y Vencerás y Programación Dinámica —</w:t>
      </w:r>
    </w:p>
    <w:p/>
    <w:p/>
    <w:p>
      <w:pPr>
        <w:jc w:val="center"/>
      </w:pPr>
      <w:r>
        <w:rPr>
          <w:b/>
          <w:sz w:val="24"/>
        </w:rPr>
        <w:t>Integrantes:</w:t>
      </w:r>
    </w:p>
    <w:p>
      <w:pPr>
        <w:jc w:val="center"/>
      </w:pPr>
      <w:r>
        <w:rPr>
          <w:b w:val="0"/>
          <w:sz w:val="24"/>
        </w:rPr>
        <w:t>Juan Jose Diaz</w:t>
      </w:r>
    </w:p>
    <w:p>
      <w:pPr>
        <w:jc w:val="center"/>
      </w:pPr>
      <w:r>
        <w:rPr>
          <w:b w:val="0"/>
          <w:sz w:val="24"/>
        </w:rPr>
        <w:t>Samuel Calderón</w:t>
      </w:r>
    </w:p>
    <w:p>
      <w:pPr>
        <w:jc w:val="center"/>
      </w:pPr>
      <w:r>
        <w:rPr>
          <w:b w:val="0"/>
          <w:sz w:val="24"/>
        </w:rPr>
      </w:r>
    </w:p>
    <w:p>
      <w:pPr>
        <w:jc w:val="center"/>
      </w:pPr>
      <w:r>
        <w:rPr>
          <w:b/>
          <w:sz w:val="24"/>
        </w:rPr>
        <w:t>Fecha de entrega: 08 de mayo de 2026</w:t>
      </w:r>
    </w:p>
    <w:p>
      <w:r>
        <w:br w:type="page"/>
      </w:r>
    </w:p>
    <w:p>
      <w:pPr>
        <w:pStyle w:val="Heading1"/>
      </w:pPr>
      <w:r>
        <w:rPr>
          <w:color w:val="1F497D"/>
        </w:rPr>
        <w:t>1. Introducción</w:t>
      </w:r>
    </w:p>
    <w:p>
      <w:r>
        <w:t>Un operador de fibra óptica debe resolver simultáneamente tres subproblemas de planificación de infraestructura: ordenar y consultar eficientemente su inventario de solicitudes de servicio, tender el menor cableado posible para interconectar nodos de red, y asignar ancho de banda limitado entre solicitudes competidoras maximizando el ingreso.</w:t>
      </w:r>
    </w:p>
    <w:p>
      <w:r>
        <w:t>Este proyecto resuelve esos tres subproblemas sobre el dataset Telco Customer Churn (Kaggle, CC0), que contiene registros de 7,043 clientes reinterpretados como solicitudes de servicio. Cada paradigma se aplica donde sus propiedades lo hacen adecuado:</w:t>
      </w:r>
    </w:p>
    <w:p>
      <w:pPr>
        <w:pStyle w:val="ListBullet"/>
      </w:pPr>
      <w:r>
        <w:t>Divide y Vencerás (Módulo A): MergeSort y búsqueda binaria garantizan O(n log n) en el peor caso y son ideales para ordenar y consultar grandes volúmenes de datos.</w:t>
      </w:r>
    </w:p>
    <w:p>
      <w:pPr>
        <w:pStyle w:val="ListBullet"/>
      </w:pPr>
      <w:r>
        <w:t>Algoritmo Codicioso (Módulo B): Kruskal con Union-Find construye el árbol de expansión mínima eligiendo localmente la arista más barata; el Lema del ciclo garantiza el óptimo global.</w:t>
      </w:r>
    </w:p>
    <w:p>
      <w:pPr>
        <w:pStyle w:val="ListBullet"/>
      </w:pPr>
      <w:r>
        <w:t>Programación Dinámica (Módulo C): La Mochila 0-1 requiere explorar subestructura óptima; el enfoque codicioso falla porque la decisión local no garantiza el óptimo global.</w:t>
      </w:r>
    </w:p>
    <w:p>
      <w:pPr>
        <w:pStyle w:val="Heading1"/>
      </w:pPr>
      <w:r>
        <w:rPr>
          <w:color w:val="1F497D"/>
        </w:rPr>
        <w:t>2. Descripción del dataset</w:t>
      </w:r>
    </w:p>
    <w:p>
      <w:r>
        <w:t>Fuente: Kaggle — Telco Customer Churn, 7,043 registros, 21 atributos, licencia CC0.</w:t>
      </w:r>
    </w:p>
    <w:p>
      <w:r>
        <w:t>Campos extraídos del CSV original (21 columnas):</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BDD7EE"/>
          </w:tcPr>
          <w:p>
            <w:pPr>
              <w:jc w:val="center"/>
            </w:pPr>
            <w:r>
              <w:rPr>
                <w:b/>
              </w:rPr>
              <w:t>Campo CSV (columna)</w:t>
            </w:r>
          </w:p>
        </w:tc>
        <w:tc>
          <w:tcPr>
            <w:tcW w:type="dxa" w:w="2835"/>
            <w:shd w:val="clear" w:color="auto" w:fill="BDD7EE"/>
          </w:tcPr>
          <w:p>
            <w:pPr>
              <w:jc w:val="center"/>
            </w:pPr>
            <w:r>
              <w:rPr>
                <w:b/>
              </w:rPr>
              <w:t>Interpretación</w:t>
            </w:r>
          </w:p>
        </w:tc>
        <w:tc>
          <w:tcPr>
            <w:tcW w:type="dxa" w:w="2835"/>
            <w:shd w:val="clear" w:color="auto" w:fill="BDD7EE"/>
          </w:tcPr>
          <w:p>
            <w:pPr>
              <w:jc w:val="center"/>
            </w:pPr>
            <w:r>
              <w:rPr>
                <w:b/>
              </w:rPr>
              <w:t>Notas</w:t>
            </w:r>
          </w:p>
        </w:tc>
      </w:tr>
      <w:tr>
        <w:tc>
          <w:tcPr>
            <w:tcW w:type="dxa" w:w="2551"/>
          </w:tcPr>
          <w:p>
            <w:pPr>
              <w:jc w:val="center"/>
            </w:pPr>
            <w:r>
              <w:t>customerID (0)</w:t>
            </w:r>
          </w:p>
        </w:tc>
        <w:tc>
          <w:tcPr>
            <w:tcW w:type="dxa" w:w="2835"/>
          </w:tcPr>
          <w:p>
            <w:pPr>
              <w:jc w:val="center"/>
            </w:pPr>
            <w:r>
              <w:t>Identificador de solicitud</w:t>
            </w:r>
          </w:p>
        </w:tc>
        <w:tc>
          <w:tcPr>
            <w:tcW w:type="dxa" w:w="2835"/>
          </w:tcPr>
          <w:p>
            <w:pPr>
              <w:jc w:val="center"/>
            </w:pPr>
            <w:r>
              <w:t>Cadena alfanumérica</w:t>
            </w:r>
          </w:p>
        </w:tc>
      </w:tr>
      <w:tr>
        <w:tc>
          <w:tcPr>
            <w:tcW w:type="dxa" w:w="2551"/>
          </w:tcPr>
          <w:p>
            <w:pPr>
              <w:jc w:val="center"/>
            </w:pPr>
            <w:r>
              <w:t>tenure (5)</w:t>
            </w:r>
          </w:p>
        </w:tc>
        <w:tc>
          <w:tcPr>
            <w:tcW w:type="dxa" w:w="2835"/>
          </w:tcPr>
          <w:p>
            <w:pPr>
              <w:jc w:val="center"/>
            </w:pPr>
            <w:r>
              <w:t>Prioridad (meses de antigüedad)</w:t>
            </w:r>
          </w:p>
        </w:tc>
        <w:tc>
          <w:tcPr>
            <w:tcW w:type="dxa" w:w="2835"/>
          </w:tcPr>
          <w:p>
            <w:pPr>
              <w:jc w:val="center"/>
            </w:pPr>
            <w:r>
              <w:t>Rango 0–72</w:t>
            </w:r>
          </w:p>
        </w:tc>
      </w:tr>
      <w:tr>
        <w:tc>
          <w:tcPr>
            <w:tcW w:type="dxa" w:w="2551"/>
          </w:tcPr>
          <w:p>
            <w:pPr>
              <w:jc w:val="center"/>
            </w:pPr>
            <w:r>
              <w:t>MonthlyCharges (18)</w:t>
            </w:r>
          </w:p>
        </w:tc>
        <w:tc>
          <w:tcPr>
            <w:tcW w:type="dxa" w:w="2835"/>
          </w:tcPr>
          <w:p>
            <w:pPr>
              <w:jc w:val="center"/>
            </w:pPr>
            <w:r>
              <w:t>Valor mensual (USD)</w:t>
            </w:r>
          </w:p>
        </w:tc>
        <w:tc>
          <w:tcPr>
            <w:tcW w:type="dxa" w:w="2835"/>
          </w:tcPr>
          <w:p>
            <w:pPr>
              <w:jc w:val="center"/>
            </w:pPr>
            <w:r>
              <w:t>Promedio global: 64.76 USD</w:t>
            </w:r>
          </w:p>
        </w:tc>
      </w:tr>
      <w:tr>
        <w:tc>
          <w:tcPr>
            <w:tcW w:type="dxa" w:w="2551"/>
          </w:tcPr>
          <w:p>
            <w:pPr>
              <w:jc w:val="center"/>
            </w:pPr>
            <w:r>
              <w:t>TotalCharges (19)</w:t>
            </w:r>
          </w:p>
        </w:tc>
        <w:tc>
          <w:tcPr>
            <w:tcW w:type="dxa" w:w="2835"/>
          </w:tcPr>
          <w:p>
            <w:pPr>
              <w:jc w:val="center"/>
            </w:pPr>
            <w:r>
              <w:t>Valor acumulado (peso en mochila)</w:t>
            </w:r>
          </w:p>
        </w:tc>
        <w:tc>
          <w:tcPr>
            <w:tcW w:type="dxa" w:w="2835"/>
          </w:tcPr>
          <w:p>
            <w:pPr>
              <w:jc w:val="center"/>
            </w:pPr>
            <w:r>
              <w:t>11 registros con campo vacío</w:t>
            </w:r>
          </w:p>
        </w:tc>
      </w:tr>
      <w:tr>
        <w:tc>
          <w:tcPr>
            <w:tcW w:type="dxa" w:w="2551"/>
          </w:tcPr>
          <w:p>
            <w:pPr>
              <w:jc w:val="center"/>
            </w:pPr>
            <w:r>
              <w:t>Churn (20)</w:t>
            </w:r>
          </w:p>
        </w:tc>
        <w:tc>
          <w:tcPr>
            <w:tcW w:type="dxa" w:w="2835"/>
          </w:tcPr>
          <w:p>
            <w:pPr>
              <w:jc w:val="center"/>
            </w:pPr>
            <w:r>
              <w:t>Estado: activo (No) / en riesgo (Yes)</w:t>
            </w:r>
          </w:p>
        </w:tc>
        <w:tc>
          <w:tcPr>
            <w:tcW w:type="dxa" w:w="2835"/>
          </w:tcPr>
          <w:p>
            <w:pPr>
              <w:jc w:val="center"/>
            </w:pPr>
            <w:r>
              <w:t>5,174 activos (Churn=No)</w:t>
            </w:r>
          </w:p>
        </w:tc>
      </w:tr>
    </w:tbl>
    <w:p/>
    <w:p>
      <w:r>
        <w:t>Manejo de valores nulos: los 11 clientes con tenure = 0 presentan TotalCharges como espacio en blanco. Se les asigna TotalCharges = 0.0. El parser detecta el campo vacío comparando con find_first_not_of(' ').</w:t>
      </w:r>
    </w:p>
    <w:p>
      <w:r>
        <w:t>Construcción del grafo (Módulo B): los 7,043 registros se agrupan en 20 nodos asignando el registro i (en orden original del CSV) al grupo i mod 20. El costo de la arista (u, v) es c(u,v) = floor(M̄u + M̄v), donde M̄k es el promedio de MonthlyCharges del grupo k. Esto produce un grafo completo de 20 nodos y 190 aristas, determinista y reproducible.</w:t>
      </w:r>
    </w:p>
    <w:p>
      <w:pPr>
        <w:pStyle w:val="Heading1"/>
      </w:pPr>
      <w:r>
        <w:rPr>
          <w:color w:val="1F497D"/>
        </w:rPr>
        <w:t>3. Módulo A — Divide y Vencerás</w:t>
      </w:r>
    </w:p>
    <w:p>
      <w:pPr>
        <w:pStyle w:val="Heading2"/>
      </w:pPr>
      <w:r>
        <w:rPr>
          <w:color w:val="2E74B5"/>
        </w:rPr>
        <w:t>3.1 MergeSort</w:t>
      </w:r>
    </w:p>
    <w:p>
      <w:r>
        <w:t>Pseudocódigo:</w:t>
      </w:r>
    </w:p>
    <w:p>
      <w:pPr>
        <w:pStyle w:val="NoSpacing"/>
        <w:shd w:val="clear" w:color="auto" w:fill="F2F2F2"/>
      </w:pPr>
      <w:r>
        <w:rPr>
          <w:rFonts w:ascii="Courier New" w:hAnsi="Courier New"/>
          <w:sz w:val="18"/>
        </w:rPr>
        <w:t>MergeSort(A, l, r):</w:t>
        <w:br/>
        <w:t xml:space="preserve">  si r - l &lt;= 1: retornar</w:t>
        <w:br/>
        <w:t xml:space="preserve">  m = (l + r) / 2</w:t>
        <w:br/>
        <w:t xml:space="preserve">  MergeSort(A, l, m)</w:t>
        <w:br/>
        <w:t xml:space="preserve">  MergeSort(A, m, r)</w:t>
        <w:br/>
        <w:t xml:space="preserve">  Merge(A, l, m, r)    // fusión estable, mayor tenure primero</w:t>
        <w:br/>
        <w:br/>
        <w:t>Merge(A, l, m, r):</w:t>
        <w:br/>
        <w:t xml:space="preserve">  i = l, j = m, k = l</w:t>
        <w:br/>
        <w:t xml:space="preserve">  mientras i &lt; m o j &lt; r:</w:t>
        <w:br/>
        <w:t xml:space="preserve">    si j &gt;= r o (i &lt; m y A[i].tenure &gt;= A[j].tenure):</w:t>
        <w:br/>
        <w:t xml:space="preserve">      tmp[k++] = A[i++]</w:t>
        <w:br/>
        <w:t xml:space="preserve">    sino: tmp[k++] = A[j++]</w:t>
        <w:br/>
        <w:t xml:space="preserve">  copiar tmp[l..r] → A[l..r]</w:t>
      </w:r>
    </w:p>
    <w:p>
      <w:r>
        <w:t>Análisis de complejidad: la recurrencia es T(n) = 2T(n/2) + Θ(n). Por el Teorema Maestro (caso 2: a=2, b=2, f(n)=Θ(n)=Θ(n^log₂2)), la solución es T(n) = Θ(n log n). MergeSort es preferible a QuickSort porque: (1) es estable — mantiene el orden relativo de registros con igual tenure —, y (2) garantiza O(n log n) en el peor caso, sin degradarse a O(n²) con datos casi ordenados o con muchos duplicados, situación posible aquí ya que muchos clientes comparten el mismo tenure.</w:t>
      </w:r>
    </w:p>
    <w:p>
      <w:r>
        <w:t>Resultados empíricos de tiempo de ejecución: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BDD7EE"/>
          </w:tcPr>
          <w:p>
            <w:pPr>
              <w:jc w:val="center"/>
            </w:pPr>
            <w:r>
              <w:rPr>
                <w:b/>
              </w:rPr>
              <w:t>n</w:t>
            </w:r>
          </w:p>
        </w:tc>
        <w:tc>
          <w:tcPr>
            <w:tcW w:type="dxa" w:w="1701"/>
            <w:shd w:val="clear" w:color="auto" w:fill="BDD7EE"/>
          </w:tcPr>
          <w:p>
            <w:pPr>
              <w:jc w:val="center"/>
            </w:pPr>
            <w:r>
              <w:rPr>
                <w:b/>
              </w:rPr>
              <w:t>Tiempo (ms)</w:t>
            </w:r>
          </w:p>
        </w:tc>
        <w:tc>
          <w:tcPr>
            <w:tcW w:type="dxa" w:w="1701"/>
            <w:shd w:val="clear" w:color="auto" w:fill="BDD7EE"/>
          </w:tcPr>
          <w:p>
            <w:pPr>
              <w:jc w:val="center"/>
            </w:pPr>
            <w:r>
              <w:rPr>
                <w:b/>
              </w:rPr>
              <w:t>n·log₂(n)</w:t>
            </w:r>
          </w:p>
        </w:tc>
        <w:tc>
          <w:tcPr>
            <w:tcW w:type="dxa" w:w="3402"/>
            <w:shd w:val="clear" w:color="auto" w:fill="BDD7EE"/>
          </w:tcPr>
          <w:p>
            <w:pPr>
              <w:jc w:val="center"/>
            </w:pPr>
            <w:r>
              <w:rPr>
                <w:b/>
              </w:rPr>
              <w:t>Ratio tiempo / Ratio teórico</w:t>
            </w:r>
          </w:p>
        </w:tc>
      </w:tr>
      <w:tr>
        <w:tc>
          <w:tcPr>
            <w:tcW w:type="dxa" w:w="1417"/>
          </w:tcPr>
          <w:p>
            <w:pPr>
              <w:jc w:val="center"/>
            </w:pPr>
            <w:r>
              <w:t>1,000</w:t>
            </w:r>
          </w:p>
        </w:tc>
        <w:tc>
          <w:tcPr>
            <w:tcW w:type="dxa" w:w="1701"/>
          </w:tcPr>
          <w:p>
            <w:pPr>
              <w:jc w:val="center"/>
            </w:pPr>
            <w:r>
              <w:t>0.74</w:t>
            </w:r>
          </w:p>
        </w:tc>
        <w:tc>
          <w:tcPr>
            <w:tcW w:type="dxa" w:w="1701"/>
          </w:tcPr>
          <w:p>
            <w:pPr>
              <w:jc w:val="center"/>
            </w:pPr>
            <w:r>
              <w:t>9,966</w:t>
            </w:r>
          </w:p>
        </w:tc>
        <w:tc>
          <w:tcPr>
            <w:tcW w:type="dxa" w:w="3402"/>
          </w:tcPr>
          <w:p>
            <w:pPr>
              <w:jc w:val="center"/>
            </w:pPr>
            <w:r>
              <w:t>—</w:t>
            </w:r>
          </w:p>
        </w:tc>
      </w:tr>
      <w:tr>
        <w:tc>
          <w:tcPr>
            <w:tcW w:type="dxa" w:w="1417"/>
          </w:tcPr>
          <w:p>
            <w:pPr>
              <w:jc w:val="center"/>
            </w:pPr>
            <w:r>
              <w:t>3,500</w:t>
            </w:r>
          </w:p>
        </w:tc>
        <w:tc>
          <w:tcPr>
            <w:tcW w:type="dxa" w:w="1701"/>
          </w:tcPr>
          <w:p>
            <w:pPr>
              <w:jc w:val="center"/>
            </w:pPr>
            <w:r>
              <w:t>2.16</w:t>
            </w:r>
          </w:p>
        </w:tc>
        <w:tc>
          <w:tcPr>
            <w:tcW w:type="dxa" w:w="1701"/>
          </w:tcPr>
          <w:p>
            <w:pPr>
              <w:jc w:val="center"/>
            </w:pPr>
            <w:r>
              <w:t>41,195</w:t>
            </w:r>
          </w:p>
        </w:tc>
        <w:tc>
          <w:tcPr>
            <w:tcW w:type="dxa" w:w="3402"/>
          </w:tcPr>
          <w:p>
            <w:pPr>
              <w:jc w:val="center"/>
            </w:pPr>
            <w:r>
              <w:t>Actual: 2.92×  |  Teórico: 4.14×</w:t>
            </w:r>
          </w:p>
        </w:tc>
      </w:tr>
      <w:tr>
        <w:tc>
          <w:tcPr>
            <w:tcW w:type="dxa" w:w="1417"/>
          </w:tcPr>
          <w:p>
            <w:pPr>
              <w:jc w:val="center"/>
            </w:pPr>
            <w:r>
              <w:t>7,043</w:t>
            </w:r>
          </w:p>
        </w:tc>
        <w:tc>
          <w:tcPr>
            <w:tcW w:type="dxa" w:w="1701"/>
          </w:tcPr>
          <w:p>
            <w:pPr>
              <w:jc w:val="center"/>
            </w:pPr>
            <w:r>
              <w:t>4.10</w:t>
            </w:r>
          </w:p>
        </w:tc>
        <w:tc>
          <w:tcPr>
            <w:tcW w:type="dxa" w:w="1701"/>
          </w:tcPr>
          <w:p>
            <w:pPr>
              <w:jc w:val="center"/>
            </w:pPr>
            <w:r>
              <w:t>90,009</w:t>
            </w:r>
          </w:p>
        </w:tc>
        <w:tc>
          <w:tcPr>
            <w:tcW w:type="dxa" w:w="3402"/>
          </w:tcPr>
          <w:p>
            <w:pPr>
              <w:jc w:val="center"/>
            </w:pPr>
            <w:r>
              <w:t>Actual: 1.90×  |  Teórico: 2.18×</w:t>
            </w:r>
          </w:p>
        </w:tc>
      </w:tr>
    </w:tbl>
    <w:p/>
    <w:p>
      <w:r>
        <w:t>Los ratios son consistentes con O(n log n). Las desviaciones se explican por el caché del procesador y la sobrecarga del sistema operativo en mediciones de milisegundos.</w:t>
      </w:r>
    </w:p>
    <w:p>
      <w:pPr>
        <w:pStyle w:val="Heading2"/>
      </w:pPr>
      <w:r>
        <w:rPr>
          <w:color w:val="2E74B5"/>
        </w:rPr>
        <w:t>3.2 Búsqueda binaria recursiva</w:t>
      </w:r>
    </w:p>
    <w:p>
      <w:r>
        <w:t>Pseudocódigo (sobre arreglo DESCENDENTE; retorna el último índice con tenure ≥ k):</w:t>
      </w:r>
    </w:p>
    <w:p>
      <w:pPr>
        <w:pStyle w:val="NoSpacing"/>
        <w:shd w:val="clear" w:color="auto" w:fill="F2F2F2"/>
      </w:pPr>
      <w:r>
        <w:rPr>
          <w:rFonts w:ascii="Courier New" w:hAnsi="Courier New"/>
          <w:sz w:val="18"/>
        </w:rPr>
        <w:t>BusquedaBinaria(A, l, r, k):</w:t>
        <w:br/>
        <w:t xml:space="preserve">  si l &gt;= r: retornar -1</w:t>
        <w:br/>
        <w:t xml:space="preserve">  m = (l + r) / 2</w:t>
        <w:br/>
        <w:t xml:space="preserve">  si A[m].tenure &gt;= k:</w:t>
        <w:br/>
        <w:t xml:space="preserve">    der = BusquedaBinaria(A, m+1, r, k)</w:t>
        <w:br/>
        <w:t xml:space="preserve">    retornar (der != -1) ? der : m</w:t>
        <w:br/>
        <w:t xml:space="preserve">  sino:</w:t>
        <w:br/>
        <w:t xml:space="preserve">    retornar BusquedaBinaria(A, l, m, k)</w:t>
      </w:r>
    </w:p>
    <w:p>
      <w:r>
        <w:t>La función retorna el último índice cuyo tenure ≥ k — la frontera del segmento de alta prioridad. Complejidad: O(log n).</w:t>
      </w:r>
    </w:p>
    <w:p>
      <w:r>
        <w:t>Resultados de las 5 consultas: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BDD7EE"/>
          </w:tcPr>
          <w:p>
            <w:pPr>
              <w:jc w:val="center"/>
            </w:pPr>
            <w:r>
              <w:rPr>
                <w:b/>
              </w:rPr>
              <w:t>Consulta</w:t>
            </w:r>
          </w:p>
        </w:tc>
        <w:tc>
          <w:tcPr>
            <w:tcW w:type="dxa" w:w="1134"/>
            <w:shd w:val="clear" w:color="auto" w:fill="BDD7EE"/>
          </w:tcPr>
          <w:p>
            <w:pPr>
              <w:jc w:val="center"/>
            </w:pPr>
            <w:r>
              <w:rPr>
                <w:b/>
              </w:rPr>
              <w:t>k</w:t>
            </w:r>
          </w:p>
        </w:tc>
        <w:tc>
          <w:tcPr>
            <w:tcW w:type="dxa" w:w="2551"/>
            <w:shd w:val="clear" w:color="auto" w:fill="BDD7EE"/>
          </w:tcPr>
          <w:p>
            <w:pPr>
              <w:jc w:val="center"/>
            </w:pPr>
            <w:r>
              <w:rPr>
                <w:b/>
              </w:rPr>
              <w:t>customerID</w:t>
            </w:r>
          </w:p>
        </w:tc>
        <w:tc>
          <w:tcPr>
            <w:tcW w:type="dxa" w:w="1701"/>
            <w:shd w:val="clear" w:color="auto" w:fill="BDD7EE"/>
          </w:tcPr>
          <w:p>
            <w:pPr>
              <w:jc w:val="center"/>
            </w:pPr>
            <w:r>
              <w:rPr>
                <w:b/>
              </w:rPr>
              <w:t>tenure</w:t>
            </w:r>
          </w:p>
        </w:tc>
      </w:tr>
      <w:tr>
        <w:tc>
          <w:tcPr>
            <w:tcW w:type="dxa" w:w="1701"/>
          </w:tcPr>
          <w:p>
            <w:pPr>
              <w:jc w:val="center"/>
            </w:pPr>
            <w:r>
              <w:t>Q_A01</w:t>
            </w:r>
          </w:p>
        </w:tc>
        <w:tc>
          <w:tcPr>
            <w:tcW w:type="dxa" w:w="1134"/>
          </w:tcPr>
          <w:p>
            <w:pPr>
              <w:jc w:val="center"/>
            </w:pPr>
            <w:r>
              <w:t>72</w:t>
            </w:r>
          </w:p>
        </w:tc>
        <w:tc>
          <w:tcPr>
            <w:tcW w:type="dxa" w:w="2551"/>
          </w:tcPr>
          <w:p>
            <w:pPr>
              <w:jc w:val="center"/>
            </w:pPr>
            <w:r>
              <w:t>2234-XADUH</w:t>
            </w:r>
          </w:p>
        </w:tc>
        <w:tc>
          <w:tcPr>
            <w:tcW w:type="dxa" w:w="1701"/>
          </w:tcPr>
          <w:p>
            <w:pPr>
              <w:jc w:val="center"/>
            </w:pPr>
            <w:r>
              <w:t>72</w:t>
            </w:r>
          </w:p>
        </w:tc>
      </w:tr>
      <w:tr>
        <w:tc>
          <w:tcPr>
            <w:tcW w:type="dxa" w:w="1701"/>
          </w:tcPr>
          <w:p>
            <w:pPr>
              <w:jc w:val="center"/>
            </w:pPr>
            <w:r>
              <w:t>Q_A02</w:t>
            </w:r>
          </w:p>
        </w:tc>
        <w:tc>
          <w:tcPr>
            <w:tcW w:type="dxa" w:w="1134"/>
          </w:tcPr>
          <w:p>
            <w:pPr>
              <w:jc w:val="center"/>
            </w:pPr>
            <w:r>
              <w:t>60</w:t>
            </w:r>
          </w:p>
        </w:tc>
        <w:tc>
          <w:tcPr>
            <w:tcW w:type="dxa" w:w="2551"/>
          </w:tcPr>
          <w:p>
            <w:pPr>
              <w:jc w:val="center"/>
            </w:pPr>
            <w:r>
              <w:t>1036-GUDCL</w:t>
            </w:r>
          </w:p>
        </w:tc>
        <w:tc>
          <w:tcPr>
            <w:tcW w:type="dxa" w:w="1701"/>
          </w:tcPr>
          <w:p>
            <w:pPr>
              <w:jc w:val="center"/>
            </w:pPr>
            <w:r>
              <w:t>60</w:t>
            </w:r>
          </w:p>
        </w:tc>
      </w:tr>
      <w:tr>
        <w:tc>
          <w:tcPr>
            <w:tcW w:type="dxa" w:w="1701"/>
          </w:tcPr>
          <w:p>
            <w:pPr>
              <w:jc w:val="center"/>
            </w:pPr>
            <w:r>
              <w:t>Q_A03</w:t>
            </w:r>
          </w:p>
        </w:tc>
        <w:tc>
          <w:tcPr>
            <w:tcW w:type="dxa" w:w="1134"/>
          </w:tcPr>
          <w:p>
            <w:pPr>
              <w:jc w:val="center"/>
            </w:pPr>
            <w:r>
              <w:t>45</w:t>
            </w:r>
          </w:p>
        </w:tc>
        <w:tc>
          <w:tcPr>
            <w:tcW w:type="dxa" w:w="2551"/>
          </w:tcPr>
          <w:p>
            <w:pPr>
              <w:jc w:val="center"/>
            </w:pPr>
            <w:r>
              <w:t>5906-CVLHP</w:t>
            </w:r>
          </w:p>
        </w:tc>
        <w:tc>
          <w:tcPr>
            <w:tcW w:type="dxa" w:w="1701"/>
          </w:tcPr>
          <w:p>
            <w:pPr>
              <w:jc w:val="center"/>
            </w:pPr>
            <w:r>
              <w:t>45</w:t>
            </w:r>
          </w:p>
        </w:tc>
      </w:tr>
      <w:tr>
        <w:tc>
          <w:tcPr>
            <w:tcW w:type="dxa" w:w="1701"/>
          </w:tcPr>
          <w:p>
            <w:pPr>
              <w:jc w:val="center"/>
            </w:pPr>
            <w:r>
              <w:t>Q_A04</w:t>
            </w:r>
          </w:p>
        </w:tc>
        <w:tc>
          <w:tcPr>
            <w:tcW w:type="dxa" w:w="1134"/>
          </w:tcPr>
          <w:p>
            <w:pPr>
              <w:jc w:val="center"/>
            </w:pPr>
            <w:r>
              <w:t>30</w:t>
            </w:r>
          </w:p>
        </w:tc>
        <w:tc>
          <w:tcPr>
            <w:tcW w:type="dxa" w:w="2551"/>
          </w:tcPr>
          <w:p>
            <w:pPr>
              <w:jc w:val="center"/>
            </w:pPr>
            <w:r>
              <w:t>3976-BWUCK</w:t>
            </w:r>
          </w:p>
        </w:tc>
        <w:tc>
          <w:tcPr>
            <w:tcW w:type="dxa" w:w="1701"/>
          </w:tcPr>
          <w:p>
            <w:pPr>
              <w:jc w:val="center"/>
            </w:pPr>
            <w:r>
              <w:t>30</w:t>
            </w:r>
          </w:p>
        </w:tc>
      </w:tr>
      <w:tr>
        <w:tc>
          <w:tcPr>
            <w:tcW w:type="dxa" w:w="1701"/>
          </w:tcPr>
          <w:p>
            <w:pPr>
              <w:jc w:val="center"/>
            </w:pPr>
            <w:r>
              <w:t>Q_A05</w:t>
            </w:r>
          </w:p>
        </w:tc>
        <w:tc>
          <w:tcPr>
            <w:tcW w:type="dxa" w:w="1134"/>
          </w:tcPr>
          <w:p>
            <w:pPr>
              <w:jc w:val="center"/>
            </w:pPr>
            <w:r>
              <w:t>12</w:t>
            </w:r>
          </w:p>
        </w:tc>
        <w:tc>
          <w:tcPr>
            <w:tcW w:type="dxa" w:w="2551"/>
          </w:tcPr>
          <w:p>
            <w:pPr>
              <w:jc w:val="center"/>
            </w:pPr>
            <w:r>
              <w:t>7750-EYXWZ</w:t>
            </w:r>
          </w:p>
        </w:tc>
        <w:tc>
          <w:tcPr>
            <w:tcW w:type="dxa" w:w="1701"/>
          </w:tcPr>
          <w:p>
            <w:pPr>
              <w:jc w:val="center"/>
            </w:pPr>
            <w:r>
              <w:t>12</w:t>
            </w:r>
          </w:p>
        </w:tc>
      </w:tr>
    </w:tbl>
    <w:p/>
    <w:p>
      <w:pPr>
        <w:pStyle w:val="Heading1"/>
      </w:pPr>
      <w:r>
        <w:rPr>
          <w:color w:val="1F497D"/>
        </w:rPr>
        <w:t>4. Módulo B — Algoritmo Codicioso (Kruskal)</w:t>
      </w:r>
    </w:p>
    <w:p>
      <w:pPr>
        <w:pStyle w:val="Heading2"/>
      </w:pPr>
      <w:r>
        <w:rPr>
          <w:color w:val="2E74B5"/>
        </w:rPr>
        <w:t>4.1 Descripción del grafo</w:t>
      </w:r>
    </w:p>
    <w:p>
      <w:pPr>
        <w:pStyle w:val="ListBullet"/>
      </w:pPr>
      <w:r>
        <w:t>Nodos: 20</w:t>
      </w:r>
    </w:p>
    <w:p>
      <w:pPr>
        <w:pStyle w:val="ListBullet"/>
      </w:pPr>
      <w:r>
        <w:t>Aristas: 190 (grafo completo K₂₀)</w:t>
      </w:r>
    </w:p>
    <w:p>
      <w:pPr>
        <w:pStyle w:val="ListBullet"/>
      </w:pPr>
      <w:r>
        <w:t>Costo promedio de arista: ≈ 128.84 unidades</w:t>
      </w:r>
    </w:p>
    <w:p>
      <w:pPr>
        <w:pStyle w:val="Heading2"/>
      </w:pPr>
      <w:r>
        <w:rPr>
          <w:color w:val="2E74B5"/>
        </w:rPr>
        <w:t>4.2 Kruskal con Union-Find</w:t>
      </w:r>
    </w:p>
    <w:p>
      <w:r>
        <w:t>Pseudocódigo:</w:t>
      </w:r>
    </w:p>
    <w:p>
      <w:pPr>
        <w:pStyle w:val="NoSpacing"/>
        <w:shd w:val="clear" w:color="auto" w:fill="F2F2F2"/>
      </w:pPr>
      <w:r>
        <w:rPr>
          <w:rFonts w:ascii="Courier New" w:hAnsi="Courier New"/>
          <w:sz w:val="18"/>
        </w:rPr>
        <w:t>Kruskal(G):</w:t>
        <w:br/>
        <w:t xml:space="preserve">  ordenar aristas por costo ascendente</w:t>
        <w:br/>
        <w:t xml:space="preserve">  DSU = UnionFind(n)       // unión por rango + compresión de caminos</w:t>
        <w:br/>
        <w:t xml:space="preserve">  MST = []</w:t>
        <w:br/>
        <w:t xml:space="preserve">  para cada arista (u, v, w) en orden:</w:t>
        <w:br/>
        <w:t xml:space="preserve">    si DSU.find(u) != DSU.find(v):</w:t>
        <w:br/>
        <w:t xml:space="preserve">      MST.agregar((u, v, w))</w:t>
        <w:br/>
        <w:t xml:space="preserve">      DSU.unir(u, v)</w:t>
        <w:br/>
        <w:t xml:space="preserve">      si |MST| == n-1: romper</w:t>
        <w:br/>
        <w:t xml:space="preserve">  retornar MST</w:t>
        <w:br/>
        <w:br/>
        <w:t>find(x):                   // compresión de caminos</w:t>
        <w:br/>
        <w:t xml:space="preserve">  si padre[x] != x: padre[x] = find(padre[x])</w:t>
        <w:br/>
        <w:t xml:space="preserve">  retornar padre[x]</w:t>
        <w:br/>
        <w:br/>
        <w:t>unir(a, b):                // unión por rango</w:t>
        <w:br/>
        <w:t xml:space="preserve">  ra = find(a); rb = find(b)</w:t>
        <w:br/>
        <w:t xml:space="preserve">  si rango[ra] &lt; rango[rb]: padre[ra] = rb</w:t>
        <w:br/>
        <w:t xml:space="preserve">  sino si rango[rb] &lt; rango[ra]: padre[rb] = ra</w:t>
        <w:br/>
        <w:t xml:space="preserve">  sino: padre[rb] = ra; rango[ra]++</w:t>
      </w:r>
    </w:p>
    <w:p>
      <w:r>
        <w:t>Complejidad: O(E log E) para el ordenamiento; operaciones Union-Find en O(α(n)) amortizado.</w:t>
      </w:r>
    </w:p>
    <w:p>
      <w:pPr>
        <w:pStyle w:val="Heading2"/>
      </w:pPr>
      <w:r>
        <w:rPr>
          <w:color w:val="2E74B5"/>
        </w:rPr>
        <w:t>4.3 Resultado del MST</w:t>
      </w:r>
    </w:p>
    <w:p>
      <w:r>
        <w:t>Peso total del MST: 2,388. Aristas incluidas (19 = n−1):</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BDD7EE"/>
          </w:tcPr>
          <w:p>
            <w:pPr>
              <w:jc w:val="center"/>
            </w:pPr>
            <w:r>
              <w:rPr>
                <w:b/>
              </w:rPr>
              <w:t>u</w:t>
            </w:r>
          </w:p>
        </w:tc>
        <w:tc>
          <w:tcPr>
            <w:tcW w:type="dxa" w:w="1134"/>
            <w:shd w:val="clear" w:color="auto" w:fill="BDD7EE"/>
          </w:tcPr>
          <w:p>
            <w:pPr>
              <w:jc w:val="center"/>
            </w:pPr>
            <w:r>
              <w:rPr>
                <w:b/>
              </w:rPr>
              <w:t>v</w:t>
            </w:r>
          </w:p>
        </w:tc>
        <w:tc>
          <w:tcPr>
            <w:tcW w:type="dxa" w:w="1701"/>
            <w:shd w:val="clear" w:color="auto" w:fill="BDD7EE"/>
          </w:tcPr>
          <w:p>
            <w:pPr>
              <w:jc w:val="center"/>
            </w:pPr>
            <w:r>
              <w:rPr>
                <w:b/>
              </w:rPr>
              <w:t>costo</w:t>
            </w:r>
          </w:p>
        </w:tc>
      </w:tr>
      <w:tr>
        <w:tc>
          <w:tcPr>
            <w:tcW w:type="dxa" w:w="1134"/>
          </w:tcPr>
          <w:p>
            <w:pPr>
              <w:jc w:val="center"/>
            </w:pPr>
            <w:r>
              <w:t>1</w:t>
            </w:r>
          </w:p>
        </w:tc>
        <w:tc>
          <w:tcPr>
            <w:tcW w:type="dxa" w:w="1134"/>
          </w:tcPr>
          <w:p>
            <w:pPr>
              <w:jc w:val="center"/>
            </w:pPr>
            <w:r>
              <w:t>12</w:t>
            </w:r>
          </w:p>
        </w:tc>
        <w:tc>
          <w:tcPr>
            <w:tcW w:type="dxa" w:w="1701"/>
          </w:tcPr>
          <w:p>
            <w:pPr>
              <w:jc w:val="center"/>
            </w:pPr>
            <w:r>
              <w:t>122</w:t>
            </w:r>
          </w:p>
        </w:tc>
      </w:tr>
      <w:tr>
        <w:tc>
          <w:tcPr>
            <w:tcW w:type="dxa" w:w="1134"/>
          </w:tcPr>
          <w:p>
            <w:pPr>
              <w:jc w:val="center"/>
            </w:pPr>
            <w:r>
              <w:t>12</w:t>
            </w:r>
          </w:p>
        </w:tc>
        <w:tc>
          <w:tcPr>
            <w:tcW w:type="dxa" w:w="1134"/>
          </w:tcPr>
          <w:p>
            <w:pPr>
              <w:jc w:val="center"/>
            </w:pPr>
            <w:r>
              <w:t>16</w:t>
            </w:r>
          </w:p>
        </w:tc>
        <w:tc>
          <w:tcPr>
            <w:tcW w:type="dxa" w:w="1701"/>
          </w:tcPr>
          <w:p>
            <w:pPr>
              <w:jc w:val="center"/>
            </w:pPr>
            <w:r>
              <w:t>123</w:t>
            </w:r>
          </w:p>
        </w:tc>
      </w:tr>
      <w:tr>
        <w:tc>
          <w:tcPr>
            <w:tcW w:type="dxa" w:w="1134"/>
          </w:tcPr>
          <w:p>
            <w:pPr>
              <w:jc w:val="center"/>
            </w:pPr>
            <w:r>
              <w:t>0</w:t>
            </w:r>
          </w:p>
        </w:tc>
        <w:tc>
          <w:tcPr>
            <w:tcW w:type="dxa" w:w="1134"/>
          </w:tcPr>
          <w:p>
            <w:pPr>
              <w:jc w:val="center"/>
            </w:pPr>
            <w:r>
              <w:t>1</w:t>
            </w:r>
          </w:p>
        </w:tc>
        <w:tc>
          <w:tcPr>
            <w:tcW w:type="dxa" w:w="1701"/>
          </w:tcPr>
          <w:p>
            <w:pPr>
              <w:jc w:val="center"/>
            </w:pPr>
            <w:r>
              <w:t>124</w:t>
            </w:r>
          </w:p>
        </w:tc>
      </w:tr>
      <w:tr>
        <w:tc>
          <w:tcPr>
            <w:tcW w:type="dxa" w:w="1134"/>
          </w:tcPr>
          <w:p>
            <w:pPr>
              <w:jc w:val="center"/>
            </w:pPr>
            <w:r>
              <w:t>1</w:t>
            </w:r>
          </w:p>
        </w:tc>
        <w:tc>
          <w:tcPr>
            <w:tcW w:type="dxa" w:w="1134"/>
          </w:tcPr>
          <w:p>
            <w:pPr>
              <w:jc w:val="center"/>
            </w:pPr>
            <w:r>
              <w:t>9</w:t>
            </w:r>
          </w:p>
        </w:tc>
        <w:tc>
          <w:tcPr>
            <w:tcW w:type="dxa" w:w="1701"/>
          </w:tcPr>
          <w:p>
            <w:pPr>
              <w:jc w:val="center"/>
            </w:pPr>
            <w:r>
              <w:t>124</w:t>
            </w:r>
          </w:p>
        </w:tc>
      </w:tr>
      <w:tr>
        <w:tc>
          <w:tcPr>
            <w:tcW w:type="dxa" w:w="1134"/>
          </w:tcPr>
          <w:p>
            <w:pPr>
              <w:jc w:val="center"/>
            </w:pPr>
            <w:r>
              <w:t>1</w:t>
            </w:r>
          </w:p>
        </w:tc>
        <w:tc>
          <w:tcPr>
            <w:tcW w:type="dxa" w:w="1134"/>
          </w:tcPr>
          <w:p>
            <w:pPr>
              <w:jc w:val="center"/>
            </w:pPr>
            <w:r>
              <w:t>14</w:t>
            </w:r>
          </w:p>
        </w:tc>
        <w:tc>
          <w:tcPr>
            <w:tcW w:type="dxa" w:w="1701"/>
          </w:tcPr>
          <w:p>
            <w:pPr>
              <w:jc w:val="center"/>
            </w:pPr>
            <w:r>
              <w:t>124</w:t>
            </w:r>
          </w:p>
        </w:tc>
      </w:tr>
      <w:tr>
        <w:tc>
          <w:tcPr>
            <w:tcW w:type="dxa" w:w="1134"/>
          </w:tcPr>
          <w:p>
            <w:pPr>
              <w:jc w:val="center"/>
            </w:pPr>
            <w:r>
              <w:t>1</w:t>
            </w:r>
          </w:p>
        </w:tc>
        <w:tc>
          <w:tcPr>
            <w:tcW w:type="dxa" w:w="1134"/>
          </w:tcPr>
          <w:p>
            <w:pPr>
              <w:jc w:val="center"/>
            </w:pPr>
            <w:r>
              <w:t>19</w:t>
            </w:r>
          </w:p>
        </w:tc>
        <w:tc>
          <w:tcPr>
            <w:tcW w:type="dxa" w:w="1701"/>
          </w:tcPr>
          <w:p>
            <w:pPr>
              <w:jc w:val="center"/>
            </w:pPr>
            <w:r>
              <w:t>125</w:t>
            </w:r>
          </w:p>
        </w:tc>
      </w:tr>
      <w:tr>
        <w:tc>
          <w:tcPr>
            <w:tcW w:type="dxa" w:w="1134"/>
          </w:tcPr>
          <w:p>
            <w:pPr>
              <w:jc w:val="center"/>
            </w:pPr>
            <w:r>
              <w:t>12</w:t>
            </w:r>
          </w:p>
        </w:tc>
        <w:tc>
          <w:tcPr>
            <w:tcW w:type="dxa" w:w="1134"/>
          </w:tcPr>
          <w:p>
            <w:pPr>
              <w:jc w:val="center"/>
            </w:pPr>
            <w:r>
              <w:t>13</w:t>
            </w:r>
          </w:p>
        </w:tc>
        <w:tc>
          <w:tcPr>
            <w:tcW w:type="dxa" w:w="1701"/>
          </w:tcPr>
          <w:p>
            <w:pPr>
              <w:jc w:val="center"/>
            </w:pPr>
            <w:r>
              <w:t>125</w:t>
            </w:r>
          </w:p>
        </w:tc>
      </w:tr>
      <w:tr>
        <w:tc>
          <w:tcPr>
            <w:tcW w:type="dxa" w:w="1134"/>
          </w:tcPr>
          <w:p>
            <w:pPr>
              <w:jc w:val="center"/>
            </w:pPr>
            <w:r>
              <w:t>1</w:t>
            </w:r>
          </w:p>
        </w:tc>
        <w:tc>
          <w:tcPr>
            <w:tcW w:type="dxa" w:w="1134"/>
          </w:tcPr>
          <w:p>
            <w:pPr>
              <w:jc w:val="center"/>
            </w:pPr>
            <w:r>
              <w:t>11</w:t>
            </w:r>
          </w:p>
        </w:tc>
        <w:tc>
          <w:tcPr>
            <w:tcW w:type="dxa" w:w="1701"/>
          </w:tcPr>
          <w:p>
            <w:pPr>
              <w:jc w:val="center"/>
            </w:pPr>
            <w:r>
              <w:t>125</w:t>
            </w:r>
          </w:p>
        </w:tc>
      </w:tr>
      <w:tr>
        <w:tc>
          <w:tcPr>
            <w:tcW w:type="dxa" w:w="1134"/>
          </w:tcPr>
          <w:p>
            <w:pPr>
              <w:jc w:val="center"/>
            </w:pPr>
            <w:r>
              <w:t>1</w:t>
            </w:r>
          </w:p>
        </w:tc>
        <w:tc>
          <w:tcPr>
            <w:tcW w:type="dxa" w:w="1134"/>
          </w:tcPr>
          <w:p>
            <w:pPr>
              <w:jc w:val="center"/>
            </w:pPr>
            <w:r>
              <w:t>7</w:t>
            </w:r>
          </w:p>
        </w:tc>
        <w:tc>
          <w:tcPr>
            <w:tcW w:type="dxa" w:w="1701"/>
          </w:tcPr>
          <w:p>
            <w:pPr>
              <w:jc w:val="center"/>
            </w:pPr>
            <w:r>
              <w:t>125</w:t>
            </w:r>
          </w:p>
        </w:tc>
      </w:tr>
      <w:tr>
        <w:tc>
          <w:tcPr>
            <w:tcW w:type="dxa" w:w="1134"/>
          </w:tcPr>
          <w:p>
            <w:pPr>
              <w:jc w:val="center"/>
            </w:pPr>
            <w:r>
              <w:t>1</w:t>
            </w:r>
          </w:p>
        </w:tc>
        <w:tc>
          <w:tcPr>
            <w:tcW w:type="dxa" w:w="1134"/>
          </w:tcPr>
          <w:p>
            <w:pPr>
              <w:jc w:val="center"/>
            </w:pPr>
            <w:r>
              <w:t>3</w:t>
            </w:r>
          </w:p>
        </w:tc>
        <w:tc>
          <w:tcPr>
            <w:tcW w:type="dxa" w:w="1701"/>
          </w:tcPr>
          <w:p>
            <w:pPr>
              <w:jc w:val="center"/>
            </w:pPr>
            <w:r>
              <w:t>126</w:t>
            </w:r>
          </w:p>
        </w:tc>
      </w:tr>
      <w:tr>
        <w:tc>
          <w:tcPr>
            <w:tcW w:type="dxa" w:w="1134"/>
          </w:tcPr>
          <w:p>
            <w:pPr>
              <w:jc w:val="center"/>
            </w:pPr>
            <w:r>
              <w:t>1</w:t>
            </w:r>
          </w:p>
        </w:tc>
        <w:tc>
          <w:tcPr>
            <w:tcW w:type="dxa" w:w="1134"/>
          </w:tcPr>
          <w:p>
            <w:pPr>
              <w:jc w:val="center"/>
            </w:pPr>
            <w:r>
              <w:t>18</w:t>
            </w:r>
          </w:p>
        </w:tc>
        <w:tc>
          <w:tcPr>
            <w:tcW w:type="dxa" w:w="1701"/>
          </w:tcPr>
          <w:p>
            <w:pPr>
              <w:jc w:val="center"/>
            </w:pPr>
            <w:r>
              <w:t>126</w:t>
            </w:r>
          </w:p>
        </w:tc>
      </w:tr>
      <w:tr>
        <w:tc>
          <w:tcPr>
            <w:tcW w:type="dxa" w:w="1134"/>
          </w:tcPr>
          <w:p>
            <w:pPr>
              <w:jc w:val="center"/>
            </w:pPr>
            <w:r>
              <w:t>1</w:t>
            </w:r>
          </w:p>
        </w:tc>
        <w:tc>
          <w:tcPr>
            <w:tcW w:type="dxa" w:w="1134"/>
          </w:tcPr>
          <w:p>
            <w:pPr>
              <w:jc w:val="center"/>
            </w:pPr>
            <w:r>
              <w:t>17</w:t>
            </w:r>
          </w:p>
        </w:tc>
        <w:tc>
          <w:tcPr>
            <w:tcW w:type="dxa" w:w="1701"/>
          </w:tcPr>
          <w:p>
            <w:pPr>
              <w:jc w:val="center"/>
            </w:pPr>
            <w:r>
              <w:t>126</w:t>
            </w:r>
          </w:p>
        </w:tc>
      </w:tr>
      <w:tr>
        <w:tc>
          <w:tcPr>
            <w:tcW w:type="dxa" w:w="1134"/>
          </w:tcPr>
          <w:p>
            <w:pPr>
              <w:jc w:val="center"/>
            </w:pPr>
            <w:r>
              <w:t>1</w:t>
            </w:r>
          </w:p>
        </w:tc>
        <w:tc>
          <w:tcPr>
            <w:tcW w:type="dxa" w:w="1134"/>
          </w:tcPr>
          <w:p>
            <w:pPr>
              <w:jc w:val="center"/>
            </w:pPr>
            <w:r>
              <w:t>10</w:t>
            </w:r>
          </w:p>
        </w:tc>
        <w:tc>
          <w:tcPr>
            <w:tcW w:type="dxa" w:w="1701"/>
          </w:tcPr>
          <w:p>
            <w:pPr>
              <w:jc w:val="center"/>
            </w:pPr>
            <w:r>
              <w:t>126</w:t>
            </w:r>
          </w:p>
        </w:tc>
      </w:tr>
      <w:tr>
        <w:tc>
          <w:tcPr>
            <w:tcW w:type="dxa" w:w="1134"/>
          </w:tcPr>
          <w:p>
            <w:pPr>
              <w:jc w:val="center"/>
            </w:pPr>
            <w:r>
              <w:t>4</w:t>
            </w:r>
          </w:p>
        </w:tc>
        <w:tc>
          <w:tcPr>
            <w:tcW w:type="dxa" w:w="1134"/>
          </w:tcPr>
          <w:p>
            <w:pPr>
              <w:jc w:val="center"/>
            </w:pPr>
            <w:r>
              <w:t>12</w:t>
            </w:r>
          </w:p>
        </w:tc>
        <w:tc>
          <w:tcPr>
            <w:tcW w:type="dxa" w:w="1701"/>
          </w:tcPr>
          <w:p>
            <w:pPr>
              <w:jc w:val="center"/>
            </w:pPr>
            <w:r>
              <w:t>127</w:t>
            </w:r>
          </w:p>
        </w:tc>
      </w:tr>
      <w:tr>
        <w:tc>
          <w:tcPr>
            <w:tcW w:type="dxa" w:w="1134"/>
          </w:tcPr>
          <w:p>
            <w:pPr>
              <w:jc w:val="center"/>
            </w:pPr>
            <w:r>
              <w:t>2</w:t>
            </w:r>
          </w:p>
        </w:tc>
        <w:tc>
          <w:tcPr>
            <w:tcW w:type="dxa" w:w="1134"/>
          </w:tcPr>
          <w:p>
            <w:pPr>
              <w:jc w:val="center"/>
            </w:pPr>
            <w:r>
              <w:t>12</w:t>
            </w:r>
          </w:p>
        </w:tc>
        <w:tc>
          <w:tcPr>
            <w:tcW w:type="dxa" w:w="1701"/>
          </w:tcPr>
          <w:p>
            <w:pPr>
              <w:jc w:val="center"/>
            </w:pPr>
            <w:r>
              <w:t>127</w:t>
            </w:r>
          </w:p>
        </w:tc>
      </w:tr>
      <w:tr>
        <w:tc>
          <w:tcPr>
            <w:tcW w:type="dxa" w:w="1134"/>
          </w:tcPr>
          <w:p>
            <w:pPr>
              <w:jc w:val="center"/>
            </w:pPr>
            <w:r>
              <w:t>1</w:t>
            </w:r>
          </w:p>
        </w:tc>
        <w:tc>
          <w:tcPr>
            <w:tcW w:type="dxa" w:w="1134"/>
          </w:tcPr>
          <w:p>
            <w:pPr>
              <w:jc w:val="center"/>
            </w:pPr>
            <w:r>
              <w:t>8</w:t>
            </w:r>
          </w:p>
        </w:tc>
        <w:tc>
          <w:tcPr>
            <w:tcW w:type="dxa" w:w="1701"/>
          </w:tcPr>
          <w:p>
            <w:pPr>
              <w:jc w:val="center"/>
            </w:pPr>
            <w:r>
              <w:t>127</w:t>
            </w:r>
          </w:p>
        </w:tc>
      </w:tr>
      <w:tr>
        <w:tc>
          <w:tcPr>
            <w:tcW w:type="dxa" w:w="1134"/>
          </w:tcPr>
          <w:p>
            <w:pPr>
              <w:jc w:val="center"/>
            </w:pPr>
            <w:r>
              <w:t>1</w:t>
            </w:r>
          </w:p>
        </w:tc>
        <w:tc>
          <w:tcPr>
            <w:tcW w:type="dxa" w:w="1134"/>
          </w:tcPr>
          <w:p>
            <w:pPr>
              <w:jc w:val="center"/>
            </w:pPr>
            <w:r>
              <w:t>5</w:t>
            </w:r>
          </w:p>
        </w:tc>
        <w:tc>
          <w:tcPr>
            <w:tcW w:type="dxa" w:w="1701"/>
          </w:tcPr>
          <w:p>
            <w:pPr>
              <w:jc w:val="center"/>
            </w:pPr>
            <w:r>
              <w:t>127</w:t>
            </w:r>
          </w:p>
        </w:tc>
      </w:tr>
      <w:tr>
        <w:tc>
          <w:tcPr>
            <w:tcW w:type="dxa" w:w="1134"/>
          </w:tcPr>
          <w:p>
            <w:pPr>
              <w:jc w:val="center"/>
            </w:pPr>
            <w:r>
              <w:t>6</w:t>
            </w:r>
          </w:p>
        </w:tc>
        <w:tc>
          <w:tcPr>
            <w:tcW w:type="dxa" w:w="1134"/>
          </w:tcPr>
          <w:p>
            <w:pPr>
              <w:jc w:val="center"/>
            </w:pPr>
            <w:r>
              <w:t>12</w:t>
            </w:r>
          </w:p>
        </w:tc>
        <w:tc>
          <w:tcPr>
            <w:tcW w:type="dxa" w:w="1701"/>
          </w:tcPr>
          <w:p>
            <w:pPr>
              <w:jc w:val="center"/>
            </w:pPr>
            <w:r>
              <w:t>129</w:t>
            </w:r>
          </w:p>
        </w:tc>
      </w:tr>
      <w:tr>
        <w:tc>
          <w:tcPr>
            <w:tcW w:type="dxa" w:w="1134"/>
          </w:tcPr>
          <w:p>
            <w:pPr>
              <w:jc w:val="center"/>
            </w:pPr>
            <w:r>
              <w:t>1</w:t>
            </w:r>
          </w:p>
        </w:tc>
        <w:tc>
          <w:tcPr>
            <w:tcW w:type="dxa" w:w="1134"/>
          </w:tcPr>
          <w:p>
            <w:pPr>
              <w:jc w:val="center"/>
            </w:pPr>
            <w:r>
              <w:t>15</w:t>
            </w:r>
          </w:p>
        </w:tc>
        <w:tc>
          <w:tcPr>
            <w:tcW w:type="dxa" w:w="1701"/>
          </w:tcPr>
          <w:p>
            <w:pPr>
              <w:jc w:val="center"/>
            </w:pPr>
            <w:r>
              <w:t>130</w:t>
            </w:r>
          </w:p>
        </w:tc>
      </w:tr>
    </w:tbl>
    <w:p/>
    <w:p>
      <w:pPr>
        <w:pStyle w:val="Heading2"/>
      </w:pPr>
      <w:r>
        <w:rPr>
          <w:color w:val="2E74B5"/>
        </w:rPr>
        <w:t>4.4 Demostración del Lema del ciclo</w:t>
      </w:r>
    </w:p>
    <w:p>
      <w:r>
        <w:t>Lema del ciclo (Cut property): para cualquier corte (S, V\S) del grafo, la arista de menor peso que cruza el corte pertenece a algún MST.</w:t>
      </w:r>
    </w:p>
    <w:p>
      <w:r>
        <w:t>Aplicación concreta: considérese la arista (1, 12) con costo 122. Si la removemos del MST, obtenemos dos componentes: {1, 0, 3, 5, 7, 8, 9, 10, 11, 14, 15, 17, 18, 19} y {12, 2, 4, 6, 13, 16}. Cualquier otra arista que cruce este corte tiene costo ≥ 122 (la siguiente es (12,16) = 123). Por tanto, (1,12) es la arista de peso mínimo del corte y el Lema garantiza que debe pertenecer al MST. Esto justifica la elección codiciosa de Kruskal.</w:t>
      </w:r>
    </w:p>
    <w:p>
      <w:pPr>
        <w:pStyle w:val="Heading2"/>
      </w:pPr>
      <w:r>
        <w:rPr>
          <w:color w:val="2E74B5"/>
        </w:rPr>
        <w:t>4.5 Verificación en el subgrafo (nodos 0–4)</w:t>
      </w:r>
    </w:p>
    <w:p>
      <w:r>
        <w:t>MST del subgrafo inducido por {0, 1, 2, 3, 4}:</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BDD7EE"/>
          </w:tcPr>
          <w:p>
            <w:pPr>
              <w:jc w:val="center"/>
            </w:pPr>
            <w:r>
              <w:rPr>
                <w:b/>
              </w:rPr>
              <w:t>u</w:t>
            </w:r>
          </w:p>
        </w:tc>
        <w:tc>
          <w:tcPr>
            <w:tcW w:type="dxa" w:w="1134"/>
            <w:shd w:val="clear" w:color="auto" w:fill="BDD7EE"/>
          </w:tcPr>
          <w:p>
            <w:pPr>
              <w:jc w:val="center"/>
            </w:pPr>
            <w:r>
              <w:rPr>
                <w:b/>
              </w:rPr>
              <w:t>v</w:t>
            </w:r>
          </w:p>
        </w:tc>
        <w:tc>
          <w:tcPr>
            <w:tcW w:type="dxa" w:w="1701"/>
            <w:shd w:val="clear" w:color="auto" w:fill="BDD7EE"/>
          </w:tcPr>
          <w:p>
            <w:pPr>
              <w:jc w:val="center"/>
            </w:pPr>
            <w:r>
              <w:rPr>
                <w:b/>
              </w:rPr>
              <w:t>costo</w:t>
            </w:r>
          </w:p>
        </w:tc>
      </w:tr>
      <w:tr>
        <w:tc>
          <w:tcPr>
            <w:tcW w:type="dxa" w:w="1134"/>
          </w:tcPr>
          <w:p>
            <w:pPr>
              <w:jc w:val="center"/>
            </w:pPr>
            <w:r>
              <w:t>0</w:t>
            </w:r>
          </w:p>
        </w:tc>
        <w:tc>
          <w:tcPr>
            <w:tcW w:type="dxa" w:w="1134"/>
          </w:tcPr>
          <w:p>
            <w:pPr>
              <w:jc w:val="center"/>
            </w:pPr>
            <w:r>
              <w:t>1</w:t>
            </w:r>
          </w:p>
        </w:tc>
        <w:tc>
          <w:tcPr>
            <w:tcW w:type="dxa" w:w="1701"/>
          </w:tcPr>
          <w:p>
            <w:pPr>
              <w:jc w:val="center"/>
            </w:pPr>
            <w:r>
              <w:t>124</w:t>
            </w:r>
          </w:p>
        </w:tc>
      </w:tr>
      <w:tr>
        <w:tc>
          <w:tcPr>
            <w:tcW w:type="dxa" w:w="1134"/>
          </w:tcPr>
          <w:p>
            <w:pPr>
              <w:jc w:val="center"/>
            </w:pPr>
            <w:r>
              <w:t>1</w:t>
            </w:r>
          </w:p>
        </w:tc>
        <w:tc>
          <w:tcPr>
            <w:tcW w:type="dxa" w:w="1134"/>
          </w:tcPr>
          <w:p>
            <w:pPr>
              <w:jc w:val="center"/>
            </w:pPr>
            <w:r>
              <w:t>3</w:t>
            </w:r>
          </w:p>
        </w:tc>
        <w:tc>
          <w:tcPr>
            <w:tcW w:type="dxa" w:w="1701"/>
          </w:tcPr>
          <w:p>
            <w:pPr>
              <w:jc w:val="center"/>
            </w:pPr>
            <w:r>
              <w:t>126</w:t>
            </w:r>
          </w:p>
        </w:tc>
      </w:tr>
      <w:tr>
        <w:tc>
          <w:tcPr>
            <w:tcW w:type="dxa" w:w="1134"/>
          </w:tcPr>
          <w:p>
            <w:pPr>
              <w:jc w:val="center"/>
            </w:pPr>
            <w:r>
              <w:t>1</w:t>
            </w:r>
          </w:p>
        </w:tc>
        <w:tc>
          <w:tcPr>
            <w:tcW w:type="dxa" w:w="1134"/>
          </w:tcPr>
          <w:p>
            <w:pPr>
              <w:jc w:val="center"/>
            </w:pPr>
            <w:r>
              <w:t>2</w:t>
            </w:r>
          </w:p>
        </w:tc>
        <w:tc>
          <w:tcPr>
            <w:tcW w:type="dxa" w:w="1701"/>
          </w:tcPr>
          <w:p>
            <w:pPr>
              <w:jc w:val="center"/>
            </w:pPr>
            <w:r>
              <w:t>127</w:t>
            </w:r>
          </w:p>
        </w:tc>
      </w:tr>
      <w:tr>
        <w:tc>
          <w:tcPr>
            <w:tcW w:type="dxa" w:w="1134"/>
          </w:tcPr>
          <w:p>
            <w:pPr>
              <w:jc w:val="center"/>
            </w:pPr>
            <w:r>
              <w:t>1</w:t>
            </w:r>
          </w:p>
        </w:tc>
        <w:tc>
          <w:tcPr>
            <w:tcW w:type="dxa" w:w="1134"/>
          </w:tcPr>
          <w:p>
            <w:pPr>
              <w:jc w:val="center"/>
            </w:pPr>
            <w:r>
              <w:t>4</w:t>
            </w:r>
          </w:p>
        </w:tc>
        <w:tc>
          <w:tcPr>
            <w:tcW w:type="dxa" w:w="1701"/>
          </w:tcPr>
          <w:p>
            <w:pPr>
              <w:jc w:val="center"/>
            </w:pPr>
            <w:r>
              <w:t>127</w:t>
            </w:r>
          </w:p>
        </w:tc>
      </w:tr>
    </w:tbl>
    <w:p/>
    <w:p>
      <w:r>
        <w:t>Peso total subgrafo: 504. Este resultado coincide con las aristas del MST completo restringidas al subconjunto {0,1,2,3,4}, verificando la correctitud de Kruskal.</w:t>
      </w:r>
    </w:p>
    <w:p>
      <w:pPr>
        <w:pStyle w:val="Heading1"/>
      </w:pPr>
      <w:r>
        <w:rPr>
          <w:color w:val="1F497D"/>
        </w:rPr>
        <w:t>5. Módulo C — Programación Dinámica</w:t>
      </w:r>
    </w:p>
    <w:p>
      <w:pPr>
        <w:pStyle w:val="Heading2"/>
      </w:pPr>
      <w:r>
        <w:rPr>
          <w:color w:val="2E74B5"/>
        </w:rPr>
        <w:t>5.1 Formulación de la Mochila 0-1</w:t>
      </w:r>
    </w:p>
    <w:p>
      <w:r>
        <w:t>Conjunto: 50 solicitudes activas (Churn = No) con mayor tenure del arreglo ordenado. Parámetros: peso w_i = round(TotalCharges_i), valor v_i = round(MonthlyCharges_i × 10) en centavos, capacidad W = 5,000 unidades.</w:t>
      </w:r>
    </w:p>
    <w:p>
      <w:r>
        <w:t>Nota: el enunciado indica W = 500, pero los 50 clientes seleccionados tienen tenure = 72 y TotalCharges entre 1,363 y 7,854 — ningún ítem cabe en 500 unidades. Se usa W = 5,000 para obtener una demostración algorítmica no trivial.</w:t>
      </w:r>
    </w:p>
    <w:p>
      <w:r>
        <w:t>Recurrencia:</w:t>
      </w:r>
    </w:p>
    <w:p>
      <w:pPr>
        <w:pStyle w:val="NoSpacing"/>
        <w:shd w:val="clear" w:color="auto" w:fill="F2F2F2"/>
      </w:pPr>
      <w:r>
        <w:rPr>
          <w:rFonts w:ascii="Courier New" w:hAnsi="Courier New"/>
          <w:sz w:val="18"/>
        </w:rPr>
        <w:t>dp[0][w] = 0   para todo w</w:t>
        <w:br/>
        <w:t>dp[i][w] = dp[i-1][w]                                     si w_i &gt; w</w:t>
        <w:br/>
        <w:t>dp[i][w] = max(dp[i-1][w], dp[i-1][w − w_i] + v_i)       si w_i ≤ w</w:t>
      </w:r>
    </w:p>
    <w:p>
      <w:pPr>
        <w:pStyle w:val="Heading2"/>
      </w:pPr>
      <w:r>
        <w:rPr>
          <w:color w:val="2E74B5"/>
        </w:rPr>
        <w:t>5.2 Pseudocódigo — Tabulación y Backtracking</w:t>
      </w:r>
    </w:p>
    <w:p>
      <w:pPr>
        <w:pStyle w:val="NoSpacing"/>
        <w:shd w:val="clear" w:color="auto" w:fill="F2F2F2"/>
      </w:pPr>
      <w:r>
        <w:rPr>
          <w:rFonts w:ascii="Courier New" w:hAnsi="Courier New"/>
          <w:sz w:val="18"/>
        </w:rPr>
        <w:t>Tabulacion(pesos[], valores[], n, W):</w:t>
        <w:br/>
        <w:t xml:space="preserve">  dp[0..n][0..W] = 0</w:t>
        <w:br/>
        <w:t xml:space="preserve">  para i de 1 a n:</w:t>
        <w:br/>
        <w:t xml:space="preserve">    para w de 0 a W:</w:t>
        <w:br/>
        <w:t xml:space="preserve">      dp[i][w] = dp[i-1][w]</w:t>
        <w:br/>
        <w:t xml:space="preserve">      si pesos[i-1] &lt;= w:</w:t>
        <w:br/>
        <w:t xml:space="preserve">        dp[i][w] = max(dp[i][w], dp[i-1][w-pesos[i-1]] + valores[i-1])</w:t>
        <w:br/>
        <w:t xml:space="preserve">  retornar dp[n][W]</w:t>
        <w:br/>
        <w:br/>
        <w:t>Backtracking(dp, pesos, n, W):</w:t>
        <w:br/>
        <w:t xml:space="preserve">  seleccionados = []; w = W</w:t>
        <w:br/>
        <w:t xml:space="preserve">  para i de n a 1:</w:t>
        <w:br/>
        <w:t xml:space="preserve">    si dp[i][w] != dp[i-1][w]:</w:t>
        <w:br/>
        <w:t xml:space="preserve">      seleccionados.agregar(i-1)</w:t>
        <w:br/>
        <w:t xml:space="preserve">      w -= pesos[i-1]</w:t>
        <w:br/>
        <w:t xml:space="preserve">  retornar seleccionados</w:t>
      </w:r>
    </w:p>
    <w:p>
      <w:pPr>
        <w:pStyle w:val="Heading2"/>
      </w:pPr>
      <w:r>
        <w:rPr>
          <w:color w:val="2E74B5"/>
        </w:rPr>
        <w:t>5.3 Solución óptima</w:t>
      </w:r>
    </w:p>
    <w:p>
      <w:r>
        <w:t>Valor óptimo total: 707 centavos | Ancho de banda usado: 4,851 / 5,000</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BDD7EE"/>
          </w:tcPr>
          <w:p>
            <w:pPr>
              <w:jc w:val="center"/>
            </w:pPr>
            <w:r>
              <w:rPr>
                <w:b/>
              </w:rPr>
              <w:t>customerID</w:t>
            </w:r>
          </w:p>
        </w:tc>
        <w:tc>
          <w:tcPr>
            <w:tcW w:type="dxa" w:w="2835"/>
            <w:shd w:val="clear" w:color="auto" w:fill="BDD7EE"/>
          </w:tcPr>
          <w:p>
            <w:pPr>
              <w:jc w:val="center"/>
            </w:pPr>
            <w:r>
              <w:rPr>
                <w:b/>
              </w:rPr>
              <w:t>w (TotalCharges)</w:t>
            </w:r>
          </w:p>
        </w:tc>
        <w:tc>
          <w:tcPr>
            <w:tcW w:type="dxa" w:w="2835"/>
            <w:shd w:val="clear" w:color="auto" w:fill="BDD7EE"/>
          </w:tcPr>
          <w:p>
            <w:pPr>
              <w:jc w:val="center"/>
            </w:pPr>
            <w:r>
              <w:rPr>
                <w:b/>
              </w:rPr>
              <w:t>v (MonthlyCharges×10)</w:t>
            </w:r>
          </w:p>
        </w:tc>
      </w:tr>
      <w:tr>
        <w:tc>
          <w:tcPr>
            <w:tcW w:type="dxa" w:w="2551"/>
          </w:tcPr>
          <w:p>
            <w:pPr>
              <w:jc w:val="center"/>
            </w:pPr>
            <w:r>
              <w:t>9286-BHDQG</w:t>
            </w:r>
          </w:p>
        </w:tc>
        <w:tc>
          <w:tcPr>
            <w:tcW w:type="dxa" w:w="2835"/>
          </w:tcPr>
          <w:p>
            <w:pPr>
              <w:jc w:val="center"/>
            </w:pPr>
            <w:r>
              <w:t>3,140</w:t>
            </w:r>
          </w:p>
        </w:tc>
        <w:tc>
          <w:tcPr>
            <w:tcW w:type="dxa" w:w="2835"/>
          </w:tcPr>
          <w:p>
            <w:pPr>
              <w:jc w:val="center"/>
            </w:pPr>
            <w:r>
              <w:t>453</w:t>
            </w:r>
          </w:p>
        </w:tc>
      </w:tr>
      <w:tr>
        <w:tc>
          <w:tcPr>
            <w:tcW w:type="dxa" w:w="2551"/>
          </w:tcPr>
          <w:p>
            <w:pPr>
              <w:jc w:val="center"/>
            </w:pPr>
            <w:r>
              <w:t>4312-KFRXN</w:t>
            </w:r>
          </w:p>
        </w:tc>
        <w:tc>
          <w:tcPr>
            <w:tcW w:type="dxa" w:w="2835"/>
          </w:tcPr>
          <w:p>
            <w:pPr>
              <w:jc w:val="center"/>
            </w:pPr>
            <w:r>
              <w:t>1,711</w:t>
            </w:r>
          </w:p>
        </w:tc>
        <w:tc>
          <w:tcPr>
            <w:tcW w:type="dxa" w:w="2835"/>
          </w:tcPr>
          <w:p>
            <w:pPr>
              <w:jc w:val="center"/>
            </w:pPr>
            <w:r>
              <w:t>254</w:t>
            </w:r>
          </w:p>
        </w:tc>
      </w:tr>
    </w:tbl>
    <w:p/>
    <w:p>
      <w:pPr>
        <w:pStyle w:val="Heading2"/>
      </w:pPr>
      <w:r>
        <w:rPr>
          <w:color w:val="2E74B5"/>
        </w:rPr>
        <w:t>5.4 Contraejemplo: fallo del enfoque codicioso</w:t>
      </w:r>
    </w:p>
    <w:p>
      <w:r>
        <w:t>Tres solicitudes del conjunto con capacidad = 14,223 unidades: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BDD7EE"/>
          </w:tcPr>
          <w:p>
            <w:pPr>
              <w:jc w:val="center"/>
            </w:pPr>
            <w:r>
              <w:rPr>
                <w:b/>
              </w:rPr>
              <w:t>customerID</w:t>
            </w:r>
          </w:p>
        </w:tc>
        <w:tc>
          <w:tcPr>
            <w:tcW w:type="dxa" w:w="1417"/>
            <w:shd w:val="clear" w:color="auto" w:fill="BDD7EE"/>
          </w:tcPr>
          <w:p>
            <w:pPr>
              <w:jc w:val="center"/>
            </w:pPr>
            <w:r>
              <w:rPr>
                <w:b/>
              </w:rPr>
              <w:t>w</w:t>
            </w:r>
          </w:p>
        </w:tc>
        <w:tc>
          <w:tcPr>
            <w:tcW w:type="dxa" w:w="1417"/>
            <w:shd w:val="clear" w:color="auto" w:fill="BDD7EE"/>
          </w:tcPr>
          <w:p>
            <w:pPr>
              <w:jc w:val="center"/>
            </w:pPr>
            <w:r>
              <w:rPr>
                <w:b/>
              </w:rPr>
              <w:t>v</w:t>
            </w:r>
          </w:p>
        </w:tc>
        <w:tc>
          <w:tcPr>
            <w:tcW w:type="dxa" w:w="1701"/>
            <w:shd w:val="clear" w:color="auto" w:fill="BDD7EE"/>
          </w:tcPr>
          <w:p>
            <w:pPr>
              <w:jc w:val="center"/>
            </w:pPr>
            <w:r>
              <w:rPr>
                <w:b/>
              </w:rPr>
              <w:t>ratio v/w</w:t>
            </w:r>
          </w:p>
        </w:tc>
      </w:tr>
      <w:tr>
        <w:tc>
          <w:tcPr>
            <w:tcW w:type="dxa" w:w="2268"/>
          </w:tcPr>
          <w:p>
            <w:pPr>
              <w:jc w:val="center"/>
            </w:pPr>
            <w:r>
              <w:t>5248-YGIJN</w:t>
            </w:r>
          </w:p>
        </w:tc>
        <w:tc>
          <w:tcPr>
            <w:tcW w:type="dxa" w:w="1417"/>
          </w:tcPr>
          <w:p>
            <w:pPr>
              <w:jc w:val="center"/>
            </w:pPr>
            <w:r>
              <w:t>6,369</w:t>
            </w:r>
          </w:p>
        </w:tc>
        <w:tc>
          <w:tcPr>
            <w:tcW w:type="dxa" w:w="1417"/>
          </w:tcPr>
          <w:p>
            <w:pPr>
              <w:jc w:val="center"/>
            </w:pPr>
            <w:r>
              <w:t>903</w:t>
            </w:r>
          </w:p>
        </w:tc>
        <w:tc>
          <w:tcPr>
            <w:tcW w:type="dxa" w:w="1701"/>
          </w:tcPr>
          <w:p>
            <w:pPr>
              <w:jc w:val="center"/>
            </w:pPr>
            <w:r>
              <w:t>0.1418</w:t>
            </w:r>
          </w:p>
        </w:tc>
      </w:tr>
      <w:tr>
        <w:tc>
          <w:tcPr>
            <w:tcW w:type="dxa" w:w="2268"/>
          </w:tcPr>
          <w:p>
            <w:pPr>
              <w:jc w:val="center"/>
            </w:pPr>
            <w:r>
              <w:t>6234-RAAPL</w:t>
            </w:r>
          </w:p>
        </w:tc>
        <w:tc>
          <w:tcPr>
            <w:tcW w:type="dxa" w:w="1417"/>
          </w:tcPr>
          <w:p>
            <w:pPr>
              <w:jc w:val="center"/>
            </w:pPr>
            <w:r>
              <w:t>7,252</w:t>
            </w:r>
          </w:p>
        </w:tc>
        <w:tc>
          <w:tcPr>
            <w:tcW w:type="dxa" w:w="1417"/>
          </w:tcPr>
          <w:p>
            <w:pPr>
              <w:jc w:val="center"/>
            </w:pPr>
            <w:r>
              <w:t>999</w:t>
            </w:r>
          </w:p>
        </w:tc>
        <w:tc>
          <w:tcPr>
            <w:tcW w:type="dxa" w:w="1701"/>
          </w:tcPr>
          <w:p>
            <w:pPr>
              <w:jc w:val="center"/>
            </w:pPr>
            <w:r>
              <w:t>0.1378</w:t>
            </w:r>
          </w:p>
        </w:tc>
      </w:tr>
      <w:tr>
        <w:tc>
          <w:tcPr>
            <w:tcW w:type="dxa" w:w="2268"/>
          </w:tcPr>
          <w:p>
            <w:pPr>
              <w:jc w:val="center"/>
            </w:pPr>
            <w:r>
              <w:t>5954-BDFSG</w:t>
            </w:r>
          </w:p>
        </w:tc>
        <w:tc>
          <w:tcPr>
            <w:tcW w:type="dxa" w:w="1417"/>
          </w:tcPr>
          <w:p>
            <w:pPr>
              <w:jc w:val="center"/>
            </w:pPr>
            <w:r>
              <w:t>7,854</w:t>
            </w:r>
          </w:p>
        </w:tc>
        <w:tc>
          <w:tcPr>
            <w:tcW w:type="dxa" w:w="1417"/>
          </w:tcPr>
          <w:p>
            <w:pPr>
              <w:jc w:val="center"/>
            </w:pPr>
            <w:r>
              <w:t>1,075</w:t>
            </w:r>
          </w:p>
        </w:tc>
        <w:tc>
          <w:tcPr>
            <w:tcW w:type="dxa" w:w="1701"/>
          </w:tcPr>
          <w:p>
            <w:pPr>
              <w:jc w:val="center"/>
            </w:pPr>
            <w:r>
              <w:t>0.1369</w:t>
            </w:r>
          </w:p>
        </w:tc>
      </w:tr>
    </w:tbl>
    <w:p/>
    <w:p>
      <w:r>
        <w:t>Greedy ordena por ratio y elige 5248-YGIJN + 6234-RAAPL (ambos caben). No puede agregar 5954-BDFSG. La PD descubre que 5248-YGIJN + 5954-BDFSG da mayor valor total: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BDD7EE"/>
          </w:tcPr>
          <w:p>
            <w:pPr>
              <w:jc w:val="center"/>
            </w:pPr>
            <w:r>
              <w:rPr>
                <w:b/>
              </w:rPr>
              <w:t>Enfoque</w:t>
            </w:r>
          </w:p>
        </w:tc>
        <w:tc>
          <w:tcPr>
            <w:tcW w:type="dxa" w:w="3118"/>
            <w:shd w:val="clear" w:color="auto" w:fill="BDD7EE"/>
          </w:tcPr>
          <w:p>
            <w:pPr>
              <w:jc w:val="center"/>
            </w:pPr>
            <w:r>
              <w:rPr>
                <w:b/>
              </w:rPr>
              <w:t>Solicitudes seleccionadas</w:t>
            </w:r>
          </w:p>
        </w:tc>
        <w:tc>
          <w:tcPr>
            <w:tcW w:type="dxa" w:w="1701"/>
            <w:shd w:val="clear" w:color="auto" w:fill="BDD7EE"/>
          </w:tcPr>
          <w:p>
            <w:pPr>
              <w:jc w:val="center"/>
            </w:pPr>
            <w:r>
              <w:rPr>
                <w:b/>
              </w:rPr>
              <w:t>Valor total</w:t>
            </w:r>
          </w:p>
        </w:tc>
        <w:tc>
          <w:tcPr>
            <w:tcW w:type="dxa" w:w="1417"/>
            <w:shd w:val="clear" w:color="auto" w:fill="BDD7EE"/>
          </w:tcPr>
          <w:p>
            <w:pPr>
              <w:jc w:val="center"/>
            </w:pPr>
            <w:r>
              <w:rPr>
                <w:b/>
              </w:rPr>
              <w:t>¿Óptimo?</w:t>
            </w:r>
          </w:p>
        </w:tc>
      </w:tr>
      <w:tr>
        <w:tc>
          <w:tcPr>
            <w:tcW w:type="dxa" w:w="2551"/>
          </w:tcPr>
          <w:p>
            <w:pPr>
              <w:jc w:val="center"/>
            </w:pPr>
            <w:r>
              <w:t>Codicioso (ratio v/w)</w:t>
            </w:r>
          </w:p>
        </w:tc>
        <w:tc>
          <w:tcPr>
            <w:tcW w:type="dxa" w:w="3118"/>
          </w:tcPr>
          <w:p>
            <w:pPr>
              <w:jc w:val="center"/>
            </w:pPr>
            <w:r>
              <w:t>5248-YGIJN + 6234-RAAPL</w:t>
            </w:r>
          </w:p>
        </w:tc>
        <w:tc>
          <w:tcPr>
            <w:tcW w:type="dxa" w:w="1701"/>
          </w:tcPr>
          <w:p>
            <w:pPr>
              <w:jc w:val="center"/>
            </w:pPr>
            <w:r>
              <w:t>1,902</w:t>
            </w:r>
          </w:p>
        </w:tc>
        <w:tc>
          <w:tcPr>
            <w:tcW w:type="dxa" w:w="1417"/>
          </w:tcPr>
          <w:p>
            <w:pPr>
              <w:jc w:val="center"/>
            </w:pPr>
            <w:r>
              <w:t>No</w:t>
            </w:r>
          </w:p>
        </w:tc>
      </w:tr>
      <w:tr>
        <w:tc>
          <w:tcPr>
            <w:tcW w:type="dxa" w:w="2551"/>
          </w:tcPr>
          <w:p>
            <w:pPr>
              <w:jc w:val="center"/>
            </w:pPr>
            <w:r>
              <w:t>PD (Mochila 0-1)</w:t>
            </w:r>
          </w:p>
        </w:tc>
        <w:tc>
          <w:tcPr>
            <w:tcW w:type="dxa" w:w="3118"/>
          </w:tcPr>
          <w:p>
            <w:pPr>
              <w:jc w:val="center"/>
            </w:pPr>
            <w:r>
              <w:t>5248-YGIJN + 5954-BDFSG</w:t>
            </w:r>
          </w:p>
        </w:tc>
        <w:tc>
          <w:tcPr>
            <w:tcW w:type="dxa" w:w="1701"/>
          </w:tcPr>
          <w:p>
            <w:pPr>
              <w:jc w:val="center"/>
            </w:pPr>
            <w:r>
              <w:t>1,978</w:t>
            </w:r>
          </w:p>
        </w:tc>
        <w:tc>
          <w:tcPr>
            <w:tcW w:type="dxa" w:w="1417"/>
          </w:tcPr>
          <w:p>
            <w:pPr>
              <w:jc w:val="center"/>
            </w:pPr>
            <w:r>
              <w:t>Sí</w:t>
            </w:r>
          </w:p>
        </w:tc>
      </w:tr>
    </w:tbl>
    <w:p/>
    <w:p>
      <w:r>
        <w:t>El greedy pierde 76 centavos porque asigna demasiado peso a 6234-RAAPL (ratio=0.1378) en lugar de 5954-BDFSG (ratio=0.1369 pero con mayor valor absoluto al combinarse). La subestructura óptima de la mochila requiere considerar el efecto global de cada elección.</w:t>
      </w:r>
    </w:p>
    <w:p>
      <w:pPr>
        <w:pStyle w:val="Heading2"/>
      </w:pPr>
      <w:r>
        <w:rPr>
          <w:color w:val="2E74B5"/>
        </w:rPr>
        <w:t>5.5 Análisis de complejidad y pseudopolinomialidad</w:t>
      </w:r>
    </w:p>
    <w:p>
      <w:r>
        <w:t>Tiempo: Θ(n × W) = Θ(50 × 5,000) = Θ(250,000) operaciones.</w:t>
      </w:r>
    </w:p>
    <w:p>
      <w:r>
        <w:t>Espacio: Θ(n × W) para la tabla dp[51][5,001].</w:t>
      </w:r>
    </w:p>
    <w:p>
      <w:r>
        <w:t>Pseudopolinomialidad: la complejidad Θ(n × W) depende del valor numérico de W, no de su longitud en bits (log W). Si W creciera exponencialmente en la longitud de la entrada, el algoritmo dejaría de ser polinomial. Por eso la Mochila 0-1 se clasifica como pseudopolinomial: eficiente en la práctica cuando W es razonablemente pequeño, pero no polinomial en el sentido estricto de la teoría de complejidad.</w:t>
      </w:r>
    </w:p>
    <w:p>
      <w:pPr>
        <w:pStyle w:val="Heading1"/>
      </w:pPr>
      <w:r>
        <w:rPr>
          <w:color w:val="1F497D"/>
        </w:rPr>
        <w:t>6. Integración del pipeline</w:t>
      </w:r>
    </w:p>
    <w:p>
      <w:r>
        <w:t>El programa se ejecuta en un solo comando:</w:t>
      </w:r>
    </w:p>
    <w:p>
      <w:pPr>
        <w:pStyle w:val="NoSpacing"/>
        <w:shd w:val="clear" w:color="auto" w:fill="F2F2F2"/>
      </w:pPr>
      <w:r>
        <w:rPr>
          <w:rFonts w:ascii="Courier New" w:hAnsi="Courier New"/>
          <w:sz w:val="18"/>
        </w:rPr>
        <w:t>g++ -std=c++17 -O2 -o ada_pf src/main.cpp src/*.cpp</w:t>
        <w:br/>
        <w:t>./ada_pf data/WA_Fn-UseC_-Telco-Customer-Churn.csv</w:t>
      </w:r>
    </w:p>
    <w:p>
      <w:r>
        <w:t>Diagrama de flujo del pipeline completo:</w:t>
      </w:r>
    </w:p>
    <w:p>
      <w:pPr>
        <w:pStyle w:val="NoSpacing"/>
        <w:shd w:val="clear" w:color="auto" w:fill="F2F2F2"/>
      </w:pPr>
      <w:r>
        <w:rPr>
          <w:rFonts w:ascii="Courier New" w:hAnsi="Courier New"/>
          <w:sz w:val="18"/>
        </w:rPr>
        <w:t>CSV (7,043 registros)</w:t>
        <w:br/>
        <w:t xml:space="preserve">       |</w:t>
        <w:br/>
        <w:t xml:space="preserve">       +---&gt; Módulo B: compute_group_monthly_avg (orden original del CSV)</w:t>
        <w:br/>
        <w:t xml:space="preserve">       |              --&gt; Kruskal MST --&gt; mst_red.txt</w:t>
        <w:br/>
        <w:t xml:space="preserve">       |</w:t>
        <w:br/>
        <w:t xml:space="preserve">       +---&gt; MergeSort descendente por tenure</w:t>
        <w:br/>
        <w:t xml:space="preserve">                     |</w:t>
        <w:br/>
        <w:t xml:space="preserve">                     +---&gt; solicitudes_ordenadas.csv</w:t>
        <w:br/>
        <w:t xml:space="preserve">                     +---&gt; Búsqueda binaria --&gt; busquedas_A.txt</w:t>
        <w:br/>
        <w:t xml:space="preserve">                     +---&gt; timing_mergesort.txt</w:t>
        <w:br/>
        <w:t xml:space="preserve">                     +---&gt; Top-50 (Churn=No) --&gt; Módulo C: Mochila 0-1</w:t>
        <w:br/>
        <w:t xml:space="preserve">                                                         --&gt; asignacion_bw.txt</w:t>
      </w:r>
    </w:p>
    <w:p>
      <w:r>
        <w:t>Dependencia clave: el Módulo B usa el orden original del CSV para asignar registros a grupos por índice i mod 20 — antes del sort. El Módulo C usa la salida del sort del Módulo A para seleccionar las 50 solicitudes activas de mayor tenure.</w:t>
      </w:r>
    </w:p>
    <w:p>
      <w:pPr>
        <w:pStyle w:val="Heading1"/>
      </w:pPr>
      <w:r>
        <w:rPr>
          <w:color w:val="1F497D"/>
        </w:rPr>
        <w:t>7. Conclusiones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BDD7EE"/>
          </w:tcPr>
          <w:p>
            <w:pPr>
              <w:jc w:val="center"/>
            </w:pPr>
            <w:r>
              <w:rPr>
                <w:b/>
              </w:rPr>
              <w:t>Paradigma</w:t>
            </w:r>
          </w:p>
        </w:tc>
        <w:tc>
          <w:tcPr>
            <w:tcW w:type="dxa" w:w="3118"/>
            <w:shd w:val="clear" w:color="auto" w:fill="BDD7EE"/>
          </w:tcPr>
          <w:p>
            <w:pPr>
              <w:jc w:val="center"/>
            </w:pPr>
            <w:r>
              <w:rPr>
                <w:b/>
              </w:rPr>
              <w:t>Garantía de optimalidad</w:t>
            </w:r>
          </w:p>
        </w:tc>
        <w:tc>
          <w:tcPr>
            <w:tcW w:type="dxa" w:w="1984"/>
            <w:shd w:val="clear" w:color="auto" w:fill="BDD7EE"/>
          </w:tcPr>
          <w:p>
            <w:pPr>
              <w:jc w:val="center"/>
            </w:pPr>
            <w:r>
              <w:rPr>
                <w:b/>
              </w:rPr>
              <w:t>Complejidad</w:t>
            </w:r>
          </w:p>
        </w:tc>
        <w:tc>
          <w:tcPr>
            <w:tcW w:type="dxa" w:w="1984"/>
            <w:shd w:val="clear" w:color="auto" w:fill="BDD7EE"/>
          </w:tcPr>
          <w:p>
            <w:pPr>
              <w:jc w:val="center"/>
            </w:pPr>
            <w:r>
              <w:rPr>
                <w:b/>
              </w:rPr>
              <w:t>Observación</w:t>
            </w:r>
          </w:p>
        </w:tc>
      </w:tr>
      <w:tr>
        <w:tc>
          <w:tcPr>
            <w:tcW w:type="dxa" w:w="2268"/>
          </w:tcPr>
          <w:p>
            <w:pPr>
              <w:jc w:val="center"/>
            </w:pPr>
            <w:r>
              <w:t>D&amp;V (MergeSort)</w:t>
            </w:r>
          </w:p>
        </w:tc>
        <w:tc>
          <w:tcPr>
            <w:tcW w:type="dxa" w:w="3118"/>
          </w:tcPr>
          <w:p>
            <w:pPr>
              <w:jc w:val="center"/>
            </w:pPr>
            <w:r>
              <w:t>Siempre óptimo (O(n log n) peor caso)</w:t>
            </w:r>
          </w:p>
        </w:tc>
        <w:tc>
          <w:tcPr>
            <w:tcW w:type="dxa" w:w="1984"/>
          </w:tcPr>
          <w:p>
            <w:pPr>
              <w:jc w:val="center"/>
            </w:pPr>
            <w:r>
              <w:t>Θ(n log n)</w:t>
            </w:r>
          </w:p>
        </w:tc>
        <w:tc>
          <w:tcPr>
            <w:tcW w:type="dxa" w:w="1984"/>
          </w:tcPr>
          <w:p>
            <w:pPr>
              <w:jc w:val="center"/>
            </w:pPr>
            <w:r>
              <w:t>Tiempos empíricos consistentes</w:t>
            </w:r>
          </w:p>
        </w:tc>
      </w:tr>
      <w:tr>
        <w:tc>
          <w:tcPr>
            <w:tcW w:type="dxa" w:w="2268"/>
          </w:tcPr>
          <w:p>
            <w:pPr>
              <w:jc w:val="center"/>
            </w:pPr>
            <w:r>
              <w:t>Codicioso (Kruskal)</w:t>
            </w:r>
          </w:p>
        </w:tc>
        <w:tc>
          <w:tcPr>
            <w:tcW w:type="dxa" w:w="3118"/>
          </w:tcPr>
          <w:p>
            <w:pPr>
              <w:jc w:val="center"/>
            </w:pPr>
            <w:r>
              <w:t>Óptimo global para MST por Lema del ciclo</w:t>
            </w:r>
          </w:p>
        </w:tc>
        <w:tc>
          <w:tcPr>
            <w:tcW w:type="dxa" w:w="1984"/>
          </w:tcPr>
          <w:p>
            <w:pPr>
              <w:jc w:val="center"/>
            </w:pPr>
            <w:r>
              <w:t>O(E log E)</w:t>
            </w:r>
          </w:p>
        </w:tc>
        <w:tc>
          <w:tcPr>
            <w:tcW w:type="dxa" w:w="1984"/>
          </w:tcPr>
          <w:p>
            <w:pPr>
              <w:jc w:val="center"/>
            </w:pPr>
            <w:r>
              <w:t>Falla en Mochila 0-1 (contraejemplo demostrado)</w:t>
            </w:r>
          </w:p>
        </w:tc>
      </w:tr>
      <w:tr>
        <w:tc>
          <w:tcPr>
            <w:tcW w:type="dxa" w:w="2268"/>
          </w:tcPr>
          <w:p>
            <w:pPr>
              <w:jc w:val="center"/>
            </w:pPr>
            <w:r>
              <w:t>PD (Mochila 0-1)</w:t>
            </w:r>
          </w:p>
        </w:tc>
        <w:tc>
          <w:tcPr>
            <w:tcW w:type="dxa" w:w="3118"/>
          </w:tcPr>
          <w:p>
            <w:pPr>
              <w:jc w:val="center"/>
            </w:pPr>
            <w:r>
              <w:t>Óptimo global garantizado</w:t>
            </w:r>
          </w:p>
        </w:tc>
        <w:tc>
          <w:tcPr>
            <w:tcW w:type="dxa" w:w="1984"/>
          </w:tcPr>
          <w:p>
            <w:pPr>
              <w:jc w:val="center"/>
            </w:pPr>
            <w:r>
              <w:t>Θ(n·W) pseudopol.</w:t>
            </w:r>
          </w:p>
        </w:tc>
        <w:tc>
          <w:tcPr>
            <w:tcW w:type="dxa" w:w="1984"/>
          </w:tcPr>
          <w:p>
            <w:pPr>
              <w:jc w:val="center"/>
            </w:pPr>
            <w:r>
              <w:t>Con datos reales W debe escalarse</w:t>
            </w:r>
          </w:p>
        </w:tc>
      </w:tr>
    </w:tbl>
    <w:p/>
    <w:p>
      <w:r>
        <w:t>La diferencia clave entre Kruskal y la Mochila está en la propiedad de subestructura: en MST la elección local (arista mínima sin ciclo) conduce al óptimo global porque los subproblemas son independientes. En la Mochila 0-1 los subproblemas se superponen y la elección local puede bloquear combinaciones globalmente mejores, haciendo necesaria la PD.</w:t>
      </w:r>
    </w:p>
    <w:p>
      <w:pPr>
        <w:pStyle w:val="Heading1"/>
      </w:pPr>
      <w:r>
        <w:rPr>
          <w:color w:val="1F497D"/>
        </w:rPr>
        <w:t>8. Herramientas de IA utilizadas</w:t>
      </w:r>
    </w:p>
    <w:p>
      <w:r>
        <w:t>Se utilizó Claude (Anthropic) como herramienta de asistencia durante el desarrollo, en los siguientes contextos permitidos:</w:t>
      </w:r>
    </w:p>
    <w:p>
      <w:pPr>
        <w:pStyle w:val="ListBullet"/>
      </w:pPr>
      <w:r>
        <w:t>Consulta de conceptos teóricos sobre MergeSort, Kruskal y Mochila 0-1.</w:t>
      </w:r>
    </w:p>
    <w:p>
      <w:pPr>
        <w:pStyle w:val="ListBullet"/>
      </w:pPr>
      <w:r>
        <w:t>Depuración de errores de compilación (índices incorrectos de columnas del CSV, dirección de búsqueda binaria en arreglo descendente).</w:t>
      </w:r>
    </w:p>
    <w:p>
      <w:pPr>
        <w:pStyle w:val="ListBullet"/>
      </w:pPr>
      <w:r>
        <w:t>Retroalimentación sobre la redacción del informe.</w:t>
      </w:r>
    </w:p>
    <w:p>
      <w:r>
        <w:t>Toda la comprensión, diseño de la solución e integración del pipeline fue realizada por los integrantes del equipo.</w:t>
      </w:r>
    </w:p>
    <w:p>
      <w:pPr>
        <w:pStyle w:val="Heading1"/>
      </w:pPr>
      <w:r>
        <w:rPr>
          <w:color w:val="1F497D"/>
        </w:rPr>
        <w:t>9. Referencias</w:t>
      </w:r>
    </w:p>
    <w:p>
      <w:pPr>
        <w:pStyle w:val="ListNumber"/>
      </w:pPr>
      <w:r>
        <w:t>Cormen, T. H., Leiserson, C. E., Rivest, R. L., &amp; Stein, C. (2022). Introduction to Algorithms (4th ed.). MIT Press. Caps. 2, 4, 16, 23.</w:t>
      </w:r>
    </w:p>
    <w:p>
      <w:pPr>
        <w:pStyle w:val="ListNumber"/>
      </w:pPr>
      <w:r>
        <w:t>Blastchar. (2018). Telco Customer Churn [Dataset]. Kaggle. https://www.kaggle.com/datasets/blastchar/telco-customer-churn</w:t>
      </w:r>
    </w:p>
    <w:p>
      <w:pPr>
        <w:pStyle w:val="ListNumber"/>
      </w:pPr>
      <w:r>
        <w:t>Material del curso Análisis de Algoritmos 2026/01, Universidad EAFIT.</w:t>
      </w:r>
    </w:p>
    <w:p>
      <w:pPr>
        <w:pStyle w:val="Heading1"/>
      </w:pPr>
      <w:r>
        <w:rPr>
          <w:color w:val="1F497D"/>
        </w:rPr>
        <w:t>10. Roles del equipo</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BDD7EE"/>
          </w:tcPr>
          <w:p>
            <w:pPr>
              <w:jc w:val="center"/>
            </w:pPr>
            <w:r>
              <w:rPr>
                <w:b/>
              </w:rPr>
              <w:t>Integrante</w:t>
            </w:r>
          </w:p>
        </w:tc>
        <w:tc>
          <w:tcPr>
            <w:tcW w:type="dxa" w:w="5953"/>
            <w:shd w:val="clear" w:color="auto" w:fill="BDD7EE"/>
          </w:tcPr>
          <w:p>
            <w:pPr>
              <w:jc w:val="center"/>
            </w:pPr>
            <w:r>
              <w:rPr>
                <w:b/>
              </w:rPr>
              <w:t>Módulos y contribuciones</w:t>
            </w:r>
          </w:p>
        </w:tc>
      </w:tr>
      <w:tr>
        <w:tc>
          <w:tcPr>
            <w:tcW w:type="dxa" w:w="2835"/>
          </w:tcPr>
          <w:p>
            <w:pPr>
              <w:jc w:val="center"/>
            </w:pPr>
            <w:r>
              <w:t>Juan Jose Diaz</w:t>
            </w:r>
          </w:p>
        </w:tc>
        <w:tc>
          <w:tcPr>
            <w:tcW w:type="dxa" w:w="5953"/>
          </w:tcPr>
          <w:p>
            <w:pPr>
              <w:jc w:val="center"/>
            </w:pPr>
            <w:r>
              <w:t>Módulo A (MergeSort + búsqueda binaria), integración del pipeline, README</w:t>
            </w:r>
          </w:p>
        </w:tc>
      </w:tr>
      <w:tr>
        <w:tc>
          <w:tcPr>
            <w:tcW w:type="dxa" w:w="2835"/>
          </w:tcPr>
          <w:p>
            <w:pPr>
              <w:jc w:val="center"/>
            </w:pPr>
            <w:r>
              <w:t>Samuel Calderón</w:t>
            </w:r>
          </w:p>
        </w:tc>
        <w:tc>
          <w:tcPr>
            <w:tcW w:type="dxa" w:w="5953"/>
          </w:tcPr>
          <w:p>
            <w:pPr>
              <w:jc w:val="center"/>
            </w:pPr>
            <w:r>
              <w:t>Módulo B (Kruskal + Union-Find), Módulo C (Mochila 0-1 + contraejemplo), informe técnico</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