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F4E79"/>
          <w:sz w:val="36"/>
          <w:szCs w:val="36"/>
        </w:rPr>
        <w:t xml:space="preserve">Comparación de Exposiciones</w:t>
      </w:r>
    </w:p>
    <w:p>
      <w:pPr>
        <w:spacing w:after="80"/>
        <w:jc w:val="center"/>
      </w:pPr>
      <w:r>
        <w:rPr>
          <w:rFonts w:ascii="Arial" w:cs="Arial" w:eastAsia="Arial" w:hAnsi="Arial"/>
          <w:color w:val="555555"/>
          <w:sz w:val="22"/>
          <w:szCs w:val="22"/>
        </w:rPr>
        <w:t xml:space="preserve">Clase de hoy (16/05/2026) vs. Semana pasada</w:t>
      </w:r>
    </w:p>
    <w:p>
      <w:pPr>
        <w:spacing w:after="40"/>
        <w:jc w:val="center"/>
      </w:pPr>
      <w:r>
        <w:rPr>
          <w:rFonts w:ascii="Arial" w:cs="Arial" w:eastAsia="Arial" w:hAnsi="Arial"/>
          <w:i/>
          <w:iCs/>
          <w:color w:val="555555"/>
          <w:sz w:val="20"/>
          <w:szCs w:val="20"/>
        </w:rPr>
        <w:t xml:space="preserve">Evaluador: Juan José Horta Méndez</w:t>
      </w:r>
    </w:p>
    <w:p>
      <w:pPr>
        <w:pBdr>
          <w:bottom w:val="single" w:color="1F4E79" w:sz="6" w:space="1"/>
        </w:pBdr>
        <w:spacing w:after="200" w:before="200"/>
      </w:pPr>
    </w:p>
    <w:p>
      <w:pPr>
        <w:pStyle w:val="Heading2"/>
      </w:pPr>
      <w:r>
        <w:rPr>
          <w:rFonts w:ascii="Arial" w:cs="Arial" w:eastAsia="Arial" w:hAnsi="Arial"/>
          <w:b/>
          <w:bCs/>
          <w:color w:val="2E75B6"/>
          <w:sz w:val="28"/>
          <w:szCs w:val="28"/>
        </w:rPr>
        <w:t xml:space="preserve">Semana pasada — SRS Supermercado La Esquina</w:t>
      </w:r>
    </w:p>
    <w:p>
      <w:pPr>
        <w:spacing w:after="200" w:before="100"/>
      </w:pPr>
      <w:r>
        <w:rPr>
          <w:rFonts w:ascii="Arial" w:cs="Arial" w:eastAsia="Arial" w:hAnsi="Arial"/>
          <w:sz w:val="22"/>
          <w:szCs w:val="22"/>
        </w:rPr>
        <w:t xml:space="preserve">El documento presentado es notablemente completo: 10 RF y 8 RFN con priorización MoSCoW, respaldados por 4 instrumentos de recolección (entrevista, observación, encuesta, revisión documental), casos de uso detallados y marco normativo (IEEE 830, ISO 25010). La propuesta es sólida, bien justificada con datos cuantitativos (tiempos, porcentajes, citas textuales) y muy viable para el contexto real del negocio.</w:t>
      </w:r>
    </w:p>
    <w:p>
      <w:pPr>
        <w:pBdr>
          <w:bottom w:val="single" w:color="1F4E79" w:sz="6" w:space="1"/>
        </w:pBdr>
        <w:spacing w:after="200" w:before="200"/>
      </w:pPr>
    </w:p>
    <w:p>
      <w:pPr>
        <w:pStyle w:val="Heading2"/>
      </w:pPr>
      <w:r>
        <w:rPr>
          <w:rFonts w:ascii="Arial" w:cs="Arial" w:eastAsia="Arial" w:hAnsi="Arial"/>
          <w:b/>
          <w:bCs/>
          <w:color w:val="2E75B6"/>
          <w:sz w:val="28"/>
          <w:szCs w:val="28"/>
        </w:rPr>
        <w:t xml:space="preserve">Clase de hoy — Las tres exposiciones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5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MeyCa50 (Edwin)</w:t>
            </w:r>
          </w:p>
        </w:tc>
        <w:tc>
          <w:tcPr>
            <w:tcW w:type="dxa" w:w="25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TienApp (Tomás)</w:t>
            </w:r>
          </w:p>
        </w:tc>
        <w:tc>
          <w:tcPr>
            <w:tcW w:type="dxa" w:w="25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Supermercado SDG (Andrés)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Nota</w:t>
            </w:r>
          </w:p>
        </w:tc>
        <w:tc>
          <w:tcPr>
            <w:tcW w:type="dxa" w:w="2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90/100</w:t>
            </w:r>
          </w:p>
        </w:tc>
        <w:tc>
          <w:tcPr>
            <w:tcW w:type="dxa" w:w="2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90/100</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50/100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RF / RFN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 / 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 / 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 / 3</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Fortaleza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Dominio del contenido y claridad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Comunicación fluida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Mensaje central comprensible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Debilidad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Nerviosismo, perdió el hilo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Estructura desorganizada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Timidez, poco dominio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Viabilidad</w:t>
            </w:r>
          </w:p>
        </w:tc>
        <w:tc>
          <w:tcPr>
            <w:tcW w:type="dxa" w:w="2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Buena</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Cuestionable (amplio para negocio pequeño)</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Incompleta, faltan detalles</w:t>
            </w:r>
          </w:p>
        </w:tc>
      </w:tr>
    </w:tbl>
    <w:p>
      <w:pPr>
        <w:spacing w:after="200"/>
      </w:pPr>
    </w:p>
    <w:p>
      <w:pPr>
        <w:pBdr>
          <w:bottom w:val="single" w:color="1F4E79" w:sz="6" w:space="1"/>
        </w:pBdr>
        <w:spacing w:after="200" w:before="200"/>
      </w:pPr>
    </w:p>
    <w:p>
      <w:pPr>
        <w:spacing w:after="150" w:before="300"/>
      </w:pPr>
      <w:r>
        <w:rPr>
          <w:rFonts w:ascii="Arial" w:cs="Arial" w:eastAsia="Arial" w:hAnsi="Arial"/>
          <w:b/>
          <w:bCs/>
          <w:color w:val="1F4E79"/>
          <w:sz w:val="26"/>
          <w:szCs w:val="26"/>
        </w:rPr>
        <w:t xml:space="preserve">Conclusión general</w:t>
      </w:r>
    </w:p>
    <w:p>
      <w:pPr>
        <w:spacing w:after="200" w:before="100"/>
      </w:pPr>
      <w:r>
        <w:rPr>
          <w:rFonts w:ascii="Arial" w:cs="Arial" w:eastAsia="Arial" w:hAnsi="Arial"/>
          <w:sz w:val="22"/>
          <w:szCs w:val="22"/>
        </w:rPr>
        <w:t xml:space="preserve">La exposición de la semana pasada supera claramente a las de hoy en profundidad técnica y sustento metodológico. De las exposiciones de hoy, Edwin (MeyCa50) es quien más se acerca en calidad, tanto en nota (90/100) como en número de requisitos (12 RF). La mayor diferencia está en que el SRS de La Esquina tiene toda la argumentación detrás de cada requisito, mientras que las presentaciones de hoy quedaron más superficiales en justificación.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2026-05-16T15:14:30.072Z</dcterms:created>
  <dcterms:modified xsi:type="dcterms:W3CDTF">2026-05-16T15:14:30.073Z</dcterms:modified>
</cp:coreProperties>
</file>

<file path=docProps/custom.xml><?xml version="1.0" encoding="utf-8"?>
<Properties xmlns="http://schemas.openxmlformats.org/officeDocument/2006/custom-properties" xmlns:vt="http://schemas.openxmlformats.org/officeDocument/2006/docPropsVTypes"/>
</file>