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spacing w:after="240" w:line="288" w:lineRule="auto"/>
        <w:jc w:val="center"/>
      </w:pPr>
      <w:r>
        <w:rPr>
          <w:rFonts w:ascii="Calibri" w:hAnsi="Calibri"/>
          <w:b/>
          <w:i w:val="0"/>
          <w:color w:val="B18A3C"/>
          <w:sz w:val="20"/>
        </w:rPr>
        <w:t>GUIA PROFISSIONAL</w:t>
      </w:r>
    </w:p>
    <w:p>
      <w:pPr>
        <w:spacing w:after="200" w:line="288" w:lineRule="auto"/>
        <w:jc w:val="center"/>
      </w:pPr>
      <w:r>
        <w:rPr>
          <w:rFonts w:ascii="Calibri" w:hAnsi="Calibri"/>
          <w:b/>
          <w:i w:val="0"/>
          <w:color w:val="164536"/>
          <w:sz w:val="60"/>
        </w:rPr>
        <w:t>Manual da Nutricionista</w:t>
      </w:r>
    </w:p>
    <w:p>
      <w:pPr>
        <w:spacing w:after="480" w:line="288" w:lineRule="auto"/>
        <w:jc w:val="center"/>
      </w:pPr>
      <w:r>
        <w:rPr>
          <w:rFonts w:ascii="Calibri" w:hAnsi="Calibri"/>
          <w:b w:val="0"/>
          <w:i w:val="0"/>
          <w:color w:val="66756F"/>
          <w:sz w:val="30"/>
        </w:rPr>
        <w:t>Operação segura e organizada da plataforma clínica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Como usar este manual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Consulte o Guia Rápido para a rotina diária e os capítulos seguintes quando precisar executar uma tarefa específica. Os nomes dos menus e botões foram conferidos no sistema atual.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spacing w:after="80" w:line="288" w:lineRule="auto"/>
        <w:jc w:val="center"/>
      </w:pPr>
      <w:r>
        <w:rPr>
          <w:rFonts w:ascii="Calibri" w:hAnsi="Calibri"/>
          <w:b w:val="0"/>
          <w:i w:val="0"/>
          <w:color w:val="66756F"/>
          <w:sz w:val="20"/>
        </w:rPr>
        <w:t>Versão 1.0 • Documento operacional</w:t>
      </w:r>
    </w:p>
    <w:p>
      <w:pPr>
        <w:spacing w:after="0" w:line="288" w:lineRule="auto"/>
        <w:jc w:val="center"/>
      </w:pPr>
      <w:r>
        <w:rPr>
          <w:rFonts w:ascii="Calibri" w:hAnsi="Calibri"/>
          <w:b w:val="0"/>
          <w:i w:val="0"/>
          <w:color w:val="66756F"/>
          <w:sz w:val="18"/>
        </w:rPr>
        <w:t>Atualizar este manual sempre que a interface ou os fluxos clínicos forem alterados.</w:t>
      </w:r>
    </w:p>
    <w:p>
      <w:r>
        <w:br w:type="page"/>
      </w:r>
    </w:p>
    <w:p>
      <w:pPr>
        <w:pStyle w:val="Heading1"/>
      </w:pPr>
      <w:r>
        <w:t>Guia rápido — rotina do dia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Abra Visão geral e confira consultas e atendimentos abertos.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Entre em Agenda &amp; Atendimentos e trate as solicitações pendentes.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Confirme paciente, horário, tipo e estado antes de clicar em Atender.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Preencha cada etapa e use Salvar e continuar.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Na Revisão, use Concluir Atendimento &amp; Entregar Materiais.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Escolha Concluir e enviar e-mail ou Concluir sem e-mail.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No Financeiro, confirme recebimentos com Receber somente após validar o pagamento.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Menu</w:t>
            </w:r>
          </w:p>
        </w:tc>
        <w:tc>
          <w:tcPr>
            <w:tcW w:type="dxa" w:w="6768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59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Visão geral</w:t>
            </w:r>
          </w:p>
        </w:tc>
        <w:tc>
          <w:tcPr>
            <w:tcW w:type="dxa" w:w="676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Indicadores e atalhos para pacientes e atendimentos.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Pacientes</w:t>
            </w:r>
          </w:p>
        </w:tc>
        <w:tc>
          <w:tcPr>
            <w:tcW w:type="dxa" w:w="67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Cadastro, busca, histórico clínico e acesso ao portal.</w:t>
            </w:r>
          </w:p>
        </w:tc>
      </w:tr>
      <w:tr>
        <w:trPr>
          <w:cantSplit/>
        </w:trPr>
        <w:tc>
          <w:tcPr>
            <w:tcW w:type="dxa" w:w="259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Agenda &amp; Atendimentos</w:t>
            </w:r>
          </w:p>
        </w:tc>
        <w:tc>
          <w:tcPr>
            <w:tcW w:type="dxa" w:w="676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Calendário, consultas, solicitações, prontuários abertos e finalizados.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Mensagens</w:t>
            </w:r>
          </w:p>
        </w:tc>
        <w:tc>
          <w:tcPr>
            <w:tcW w:type="dxa" w:w="67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Conversas e dúvidas enviadas pelos pacientes.</w:t>
            </w:r>
          </w:p>
        </w:tc>
      </w:tr>
      <w:tr>
        <w:trPr>
          <w:cantSplit/>
        </w:trPr>
        <w:tc>
          <w:tcPr>
            <w:tcW w:type="dxa" w:w="259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Acompanhamento</w:t>
            </w:r>
          </w:p>
        </w:tc>
        <w:tc>
          <w:tcPr>
            <w:tcW w:type="dxa" w:w="676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Evolução, metas, plano vigente e histórico.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Exames recebidos</w:t>
            </w:r>
          </w:p>
        </w:tc>
        <w:tc>
          <w:tcPr>
            <w:tcW w:type="dxa" w:w="67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Arquivos do portal, revisão e vínculo ao prontuário.</w:t>
            </w:r>
          </w:p>
        </w:tc>
      </w:tr>
      <w:tr>
        <w:trPr>
          <w:cantSplit/>
        </w:trPr>
        <w:tc>
          <w:tcPr>
            <w:tcW w:type="dxa" w:w="259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Planos e receitas</w:t>
            </w:r>
          </w:p>
        </w:tc>
        <w:tc>
          <w:tcPr>
            <w:tcW w:type="dxa" w:w="676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Alimentos TACO, receitas, modelos e planos.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Documentos</w:t>
            </w:r>
          </w:p>
        </w:tc>
        <w:tc>
          <w:tcPr>
            <w:tcW w:type="dxa" w:w="67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Emissão A4, recibos e disponibilização no portal.</w:t>
            </w:r>
          </w:p>
        </w:tc>
      </w:tr>
      <w:tr>
        <w:trPr>
          <w:cantSplit/>
        </w:trPr>
        <w:tc>
          <w:tcPr>
            <w:tcW w:type="dxa" w:w="259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Financeiro</w:t>
            </w:r>
          </w:p>
        </w:tc>
        <w:tc>
          <w:tcPr>
            <w:tcW w:type="dxa" w:w="676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Cobranças pendentes, vencidas, pagas e canceladas.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Configurações</w:t>
            </w:r>
          </w:p>
        </w:tc>
        <w:tc>
          <w:tcPr>
            <w:tcW w:type="dxa" w:w="67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Consultório, valores, mensagens, e-mail, senha e diagnóstico.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1"/>
      </w:pPr>
      <w:r>
        <w:t>1. Acesso e segurança</w:t>
      </w:r>
    </w:p>
    <w:p>
      <w:pPr>
        <w:pStyle w:val="Heading2"/>
      </w:pPr>
      <w:r>
        <w:t>Entrar na plataforma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Página de login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Informe seu e-mail ou CPF.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Digite a senha.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Entrar.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O que acontece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A nutricionista é direcionada à Visão geral. Se você tentou abrir uma página protegida, o sistema retorna a ela após o login.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ED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Atenção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Nunca compartilhe sua senha. Se Caps Lock estiver ligado, confira antes de tentar novamente.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2"/>
      </w:pPr>
      <w:r>
        <w:t>Recuperar a senha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Login → Esqueceu sua senha?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Informe e-mail ou CPF.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Enviar instruções.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Abra o link temporário recebido.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Cadastre e confirme a nova senha.</w:t>
      </w:r>
    </w:p>
    <w:p>
      <w:pPr>
        <w:pStyle w:val="Heading2"/>
      </w:pPr>
      <w:r>
        <w:t>Alterar a senha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Configurações → Segurança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Informe a senha atual.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Informe e confirme uma senha nova, forte e exclusiva.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Salvar Nova Senha.</w:t>
      </w:r>
    </w:p>
    <w:p>
      <w:pPr>
        <w:pStyle w:val="Heading1"/>
      </w:pPr>
      <w:r>
        <w:t>2. Visão geral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4322D"/>
          <w:sz w:val="21"/>
        </w:rPr>
        <w:t>A Visão geral reúne pacientes ativos, consultas do dia, atendimentos abertos, receita do mês, recebimentos pendentes e ações rápidas.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Novo paciente abre o cadastro.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Iniciar atendimento abre a Central de Atendimentos.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Os cards são indicadores; para operar um item, abra o módulo correspondente na barra lateral.</w:t>
      </w:r>
    </w:p>
    <w:p>
      <w:pPr>
        <w:pStyle w:val="Heading1"/>
      </w:pPr>
      <w:r>
        <w:t>3. Pacientes e acesso ao portal</w:t>
      </w:r>
    </w:p>
    <w:p>
      <w:pPr>
        <w:pStyle w:val="Heading2"/>
      </w:pPr>
      <w:r>
        <w:t>Cadastrar paciente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Pacientes → Novo Paciente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Preencha nome, e-mail, WhatsApp, CPF, nascimento e objetivo.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Selecione os perfis clínicos pertinentes.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Revise os dados e salve.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ED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Atenção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O e-mail é necessário para liberar o portal e é detectado automaticamente ao concluir uma consulta com envio.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Perfil clínico</w:t>
            </w:r>
          </w:p>
        </w:tc>
        <w:tc>
          <w:tcPr>
            <w:tcW w:type="dxa" w:w="6192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Quando usar</w:t>
            </w:r>
          </w:p>
        </w:tc>
      </w:tr>
      <w:tr>
        <w:trPr>
          <w:cantSplit/>
        </w:trPr>
        <w:tc>
          <w:tcPr>
            <w:tcW w:type="dxa" w:w="316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Criança / Adolescente ou jovem</w:t>
            </w:r>
          </w:p>
        </w:tc>
        <w:tc>
          <w:tcPr>
            <w:tcW w:type="dxa" w:w="619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Acompanhamento por fase de desenvolvimento.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Homem adulto / Mulher adulta</w:t>
            </w:r>
          </w:p>
        </w:tc>
        <w:tc>
          <w:tcPr>
            <w:tcW w:type="dxa" w:w="61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Referência clínica adulta.</w:t>
            </w:r>
          </w:p>
        </w:tc>
      </w:tr>
      <w:tr>
        <w:trPr>
          <w:cantSplit/>
        </w:trPr>
        <w:tc>
          <w:tcPr>
            <w:tcW w:type="dxa" w:w="316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Gestante / Pós-parto ou lactante</w:t>
            </w:r>
          </w:p>
        </w:tc>
        <w:tc>
          <w:tcPr>
            <w:tcW w:type="dxa" w:w="619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Necessidades específicas do ciclo materno.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Pessoa idosa</w:t>
            </w:r>
          </w:p>
        </w:tc>
        <w:tc>
          <w:tcPr>
            <w:tcW w:type="dxa" w:w="61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Cuidados de envelhecimento e funcionalidade.</w:t>
            </w:r>
          </w:p>
        </w:tc>
      </w:tr>
      <w:tr>
        <w:trPr>
          <w:cantSplit/>
        </w:trPr>
        <w:tc>
          <w:tcPr>
            <w:tcW w:type="dxa" w:w="316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Atleta</w:t>
            </w:r>
          </w:p>
        </w:tc>
        <w:tc>
          <w:tcPr>
            <w:tcW w:type="dxa" w:w="619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Rotina esportiva e desempenho.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Vegetariano ou vegano</w:t>
            </w:r>
          </w:p>
        </w:tc>
        <w:tc>
          <w:tcPr>
            <w:tcW w:type="dxa" w:w="61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Padrão alimentar específico.</w:t>
            </w:r>
          </w:p>
        </w:tc>
      </w:tr>
      <w:tr>
        <w:trPr>
          <w:cantSplit/>
        </w:trPr>
        <w:tc>
          <w:tcPr>
            <w:tcW w:type="dxa" w:w="316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Acompanhamento bariátrico</w:t>
            </w:r>
          </w:p>
        </w:tc>
        <w:tc>
          <w:tcPr>
            <w:tcW w:type="dxa" w:w="619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Pré ou pós-operatório.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Outro</w:t>
            </w:r>
          </w:p>
        </w:tc>
        <w:tc>
          <w:tcPr>
            <w:tcW w:type="dxa" w:w="61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Situação relevante não contemplada.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2"/>
      </w:pPr>
      <w:r>
        <w:t>Editar e consultar paciente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Pacientes → card do paciente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Use o lápis para editar dados cadastrais.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Use Histórico para consultar evolução, atendimentos e exames.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Use Atender para abrir um prontuário.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Use Liberar Portal/Portal Ativo para gerenciar o acesso.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Boa prática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Confira sempre o nome do paciente antes de editar, iniciar atendimento, anexar exame ou emitir documento.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1"/>
      </w:pPr>
      <w:r>
        <w:t>4. Agenda e estados da consulta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Central atual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No sistema atual, Agenda &amp; Atendimentos abre a Central de Atendimentos, com as abas Calendário, Hoje, Em andamento e Finalizados.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2"/>
      </w:pPr>
      <w:r>
        <w:t>Criar agendamento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Agenda &amp; Atendimentos → Novo agendamento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Selecione paciente, data e horário.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Escolha tipo, duração, valor e estado inicial.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Em consulta online, confira a teleconsulta.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Inclua observações úteis.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Confirmar consulta.</w:t>
      </w:r>
    </w:p>
    <w:p>
      <w:pPr>
        <w:pStyle w:val="Heading2"/>
      </w:pPr>
      <w:r>
        <w:t>Tratar pedido do portal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Solicitações pendentes de confirmação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Confira paciente, data preferida, período, tipo e observações.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Agendar e complete o horário, ou use Recusar.</w:t>
      </w:r>
    </w:p>
    <w:p>
      <w:pPr>
        <w:pStyle w:val="Heading2"/>
      </w:pPr>
      <w:r>
        <w:t>Reagendar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Consulta → Reagendar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Altere data ou horário.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Revise duração, tipo e valor.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Confirmar reagendamento.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O que acontece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A confirmação do paciente é reiniciada e ele recebe a atualização no portal e, quando configurado, por e-mail.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6768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Significado e próxima ação</w:t>
            </w:r>
          </w:p>
        </w:tc>
      </w:tr>
      <w:tr>
        <w:trPr>
          <w:cantSplit/>
        </w:trPr>
        <w:tc>
          <w:tcPr>
            <w:tcW w:type="dxa" w:w="259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Aguardando confirmação</w:t>
            </w:r>
          </w:p>
        </w:tc>
        <w:tc>
          <w:tcPr>
            <w:tcW w:type="dxa" w:w="676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Criada e aguardando confirmação; pode confirmar, reagendar, cancelar ou marcar ausência.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Confirmado</w:t>
            </w:r>
          </w:p>
        </w:tc>
        <w:tc>
          <w:tcPr>
            <w:tcW w:type="dxa" w:w="67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Consulta válida e pronta para iniciar.</w:t>
            </w:r>
          </w:p>
        </w:tc>
      </w:tr>
      <w:tr>
        <w:trPr>
          <w:cantSplit/>
        </w:trPr>
        <w:tc>
          <w:tcPr>
            <w:tcW w:type="dxa" w:w="259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Em atendimento</w:t>
            </w:r>
          </w:p>
        </w:tc>
        <w:tc>
          <w:tcPr>
            <w:tcW w:type="dxa" w:w="676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Prontuário aberto; a próxima transição coerente é Concluído.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Concluído</w:t>
            </w:r>
          </w:p>
        </w:tc>
        <w:tc>
          <w:tcPr>
            <w:tcW w:type="dxa" w:w="67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Estado terminal; consulte ou abra correção formal.</w:t>
            </w:r>
          </w:p>
        </w:tc>
      </w:tr>
      <w:tr>
        <w:trPr>
          <w:cantSplit/>
        </w:trPr>
        <w:tc>
          <w:tcPr>
            <w:tcW w:type="dxa" w:w="259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Cancelado</w:t>
            </w:r>
          </w:p>
        </w:tc>
        <w:tc>
          <w:tcPr>
            <w:tcW w:type="dxa" w:w="676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Estado terminal; só retorna à agenda mediante reagendamento.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Não compareceu</w:t>
            </w:r>
          </w:p>
        </w:tc>
        <w:tc>
          <w:tcPr>
            <w:tcW w:type="dxa" w:w="67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Estado terminal; reagende para criar nova oportunidade.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Regra essencial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Não use Atendimento avulso quando já existir um card agendado. Clique em Atender no próprio card para preservar agenda, prontuário, teleconsulta e cobrança.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1"/>
      </w:pPr>
      <w:r>
        <w:t>5. Atendimento clínico</w:t>
      </w:r>
    </w:p>
    <w:p>
      <w:pPr>
        <w:pStyle w:val="Heading2"/>
      </w:pPr>
      <w:r>
        <w:t>Iniciar consulta agendada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Agenda &amp; Atendimentos → consulta → Atender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Confirme paciente, horário e estado.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Atender.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Aguarde a Central abrir o atendimento vinculado.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O que acontece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A consulta passa para Em atendimento e o prontuário correspondente é criado ou retomado.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2"/>
      </w:pPr>
      <w:r>
        <w:t>Iniciar encaixe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Central de Atendimentos → Atendimento avulso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Selecione um paciente cadastrado.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Confirme a abertura.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ED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Atenção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Use apenas quando não houver agendamento correspondente.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6912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Conteúdo principal</w:t>
            </w:r>
          </w:p>
        </w:tc>
      </w:tr>
      <w:tr>
        <w:trPr>
          <w:cantSplit/>
        </w:trPr>
        <w:tc>
          <w:tcPr>
            <w:tcW w:type="dxa" w:w="244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Contexto</w:t>
            </w:r>
          </w:p>
        </w:tc>
        <w:tc>
          <w:tcPr>
            <w:tcW w:type="dxa" w:w="691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Queixa, expectativa e identificação social.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Anamnese</w:t>
            </w:r>
          </w:p>
        </w:tc>
        <w:tc>
          <w:tcPr>
            <w:tcW w:type="dxa" w:w="691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História clínica, sintomas, hábitos, sono, atividade e rotina alimentar.</w:t>
            </w:r>
          </w:p>
        </w:tc>
      </w:tr>
      <w:tr>
        <w:trPr>
          <w:cantSplit/>
        </w:trPr>
        <w:tc>
          <w:tcPr>
            <w:tcW w:type="dxa" w:w="244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Avaliação Física</w:t>
            </w:r>
          </w:p>
        </w:tc>
        <w:tc>
          <w:tcPr>
            <w:tcW w:type="dxa" w:w="691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Face, olhos, boca, língua, cabelos, pele, unhas, abdômen, membros e observações.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Recordatório 24h</w:t>
            </w:r>
          </w:p>
        </w:tc>
        <w:tc>
          <w:tcPr>
            <w:tcW w:type="dxa" w:w="691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Horários, refeições e consumo do dia anterior.</w:t>
            </w:r>
          </w:p>
        </w:tc>
      </w:tr>
      <w:tr>
        <w:trPr>
          <w:cantSplit/>
        </w:trPr>
        <w:tc>
          <w:tcPr>
            <w:tcW w:type="dxa" w:w="244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Avaliação corporal</w:t>
            </w:r>
          </w:p>
        </w:tc>
        <w:tc>
          <w:tcPr>
            <w:tcW w:type="dxa" w:w="691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Peso, altura, bioimpedância, circunferências, pescoço, dobras e perfis específicos.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Exames</w:t>
            </w:r>
          </w:p>
        </w:tc>
        <w:tc>
          <w:tcPr>
            <w:tcW w:type="dxa" w:w="691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Resultados, referências, interpretação e pendências.</w:t>
            </w:r>
          </w:p>
        </w:tc>
      </w:tr>
      <w:tr>
        <w:trPr>
          <w:cantSplit/>
        </w:trPr>
        <w:tc>
          <w:tcPr>
            <w:tcW w:type="dxa" w:w="244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Conduta</w:t>
            </w:r>
          </w:p>
        </w:tc>
        <w:tc>
          <w:tcPr>
            <w:tcW w:type="dxa" w:w="691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Impressão, metas, orientações e acompanhamento.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Plano alimentar</w:t>
            </w:r>
          </w:p>
        </w:tc>
        <w:tc>
          <w:tcPr>
            <w:tcW w:type="dxa" w:w="691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Refeições, alimentos, receitas e macronutrientes.</w:t>
            </w:r>
          </w:p>
        </w:tc>
      </w:tr>
      <w:tr>
        <w:trPr>
          <w:cantSplit/>
        </w:trPr>
        <w:tc>
          <w:tcPr>
            <w:tcW w:type="dxa" w:w="244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Suplementação</w:t>
            </w:r>
          </w:p>
        </w:tc>
        <w:tc>
          <w:tcPr>
            <w:tcW w:type="dxa" w:w="691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Item, dose, forma, posologia e orientação.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Anotações/Retorno</w:t>
            </w:r>
          </w:p>
        </w:tc>
        <w:tc>
          <w:tcPr>
            <w:tcW w:type="dxa" w:w="691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Evolução, adesão, sintomas e próxima meta.</w:t>
            </w:r>
          </w:p>
        </w:tc>
      </w:tr>
      <w:tr>
        <w:trPr>
          <w:cantSplit/>
        </w:trPr>
        <w:tc>
          <w:tcPr>
            <w:tcW w:type="dxa" w:w="244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Revisão</w:t>
            </w:r>
          </w:p>
        </w:tc>
        <w:tc>
          <w:tcPr>
            <w:tcW w:type="dxa" w:w="691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Conferência e entrega final.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2"/>
      </w:pPr>
      <w:r>
        <w:t>Salvar uma etapa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Dentro do prontuário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Preencha a etapa.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Salvar e continuar.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Aguarde a confirmação Etapa salva com segurança.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ED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Atenção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Se a etapa foi alterada em outra tela, recarregue antes de salvar para não substituir informação mais recente.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2"/>
      </w:pPr>
      <w:r>
        <w:t>Corrigir prontuário finalizado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Finalizados → Ver prontuário → Reabrir para correção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Abra formalmente a correção.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Edite apenas o necessário.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Salve a correção pela ação indicada.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O que acontece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O atendimento continua Concluído e o histórico de revisão é preservado.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1"/>
      </w:pPr>
      <w:r>
        <w:t>6. Teleconsulta</w:t>
      </w:r>
    </w:p>
    <w:p>
      <w:pPr>
        <w:pStyle w:val="Heading2"/>
      </w:pPr>
      <w:r>
        <w:t>Entrar na sala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Consulta online → Atender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Autorize câmera e microfone.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Aguarde a validação da sala.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Confirme a entrada do paciente.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Controle</w:t>
            </w:r>
          </w:p>
        </w:tc>
        <w:tc>
          <w:tcPr>
            <w:tcW w:type="dxa" w:w="6480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Ação</w:t>
            </w:r>
          </w:p>
        </w:tc>
      </w:tr>
      <w:tr>
        <w:trPr>
          <w:cantSplit/>
        </w:trPr>
        <w:tc>
          <w:tcPr>
            <w:tcW w:type="dxa" w:w="288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Microfone / câmera</w:t>
            </w:r>
          </w:p>
        </w:tc>
        <w:tc>
          <w:tcPr>
            <w:tcW w:type="dxa" w:w="648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Liga ou desliga o dispositivo.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Reconectar</w:t>
            </w:r>
          </w:p>
        </w:tc>
        <w:tc>
          <w:tcPr>
            <w:tcW w:type="dxa" w:w="64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Refaz a conexão de áudio e vídeo.</w:t>
            </w:r>
          </w:p>
        </w:tc>
      </w:tr>
      <w:tr>
        <w:trPr>
          <w:cantSplit/>
        </w:trPr>
        <w:tc>
          <w:tcPr>
            <w:tcW w:type="dxa" w:w="288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Expandir / Split</w:t>
            </w:r>
          </w:p>
        </w:tc>
        <w:tc>
          <w:tcPr>
            <w:tcW w:type="dxa" w:w="648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Alterna foco do vídeo e prontuário lado a lado.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Nova janela</w:t>
            </w:r>
          </w:p>
        </w:tc>
        <w:tc>
          <w:tcPr>
            <w:tcW w:type="dxa" w:w="64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Abre a teleconsulta separadamente.</w:t>
            </w:r>
          </w:p>
        </w:tc>
      </w:tr>
      <w:tr>
        <w:trPr>
          <w:cantSplit/>
        </w:trPr>
        <w:tc>
          <w:tcPr>
            <w:tcW w:type="dxa" w:w="288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Minimizar</w:t>
            </w:r>
          </w:p>
        </w:tc>
        <w:tc>
          <w:tcPr>
            <w:tcW w:type="dxa" w:w="648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Mantém áudio e vídeo no miniplayer móvel.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Encerrar sala</w:t>
            </w:r>
          </w:p>
        </w:tc>
        <w:tc>
          <w:tcPr>
            <w:tcW w:type="dxa" w:w="64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Finaliza a sala para todos.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2"/>
      </w:pPr>
      <w:r>
        <w:t>Usar o miniplayer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Teleconsulta → Minimizar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Minimizar.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Arraste o miniplayer para uma posição confortável.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Continue preenchendo o prontuário.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para restaurar.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ED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Atenção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Minimizar não encerra a consulta. Enquanto a chamada estiver ativa, avisos redundantes para entrar devem permanecer ocultos.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2"/>
      </w:pPr>
      <w:r>
        <w:t>Transmitir lâmina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Teleconsulta → Lâminas A4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Abra a biblioteca.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Escolha a lâmina e revise a prévia.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Transmitir no Vídeo.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Encerre a transmissão para retornar ao vídeo.</w:t>
      </w:r>
    </w:p>
    <w:p>
      <w:pPr>
        <w:pStyle w:val="Heading1"/>
      </w:pPr>
      <w:r>
        <w:t>7. Finalização do atendimento</w:t>
      </w:r>
    </w:p>
    <w:p>
      <w:pPr>
        <w:pStyle w:val="Heading2"/>
      </w:pPr>
      <w:r>
        <w:t>Concluir e entregar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Revisão ou Encerrar Atendimento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Salve todas as etapas pendentes.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Revise resumo, avaliação, plano, suplementação e exames.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Confira o e-mail preenchido pelo cadastro.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Escolha as lâminas educacionais.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Concluir e enviar e-mail ou Concluir sem e-mail.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Aguarde a confirmação antes de sair.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O que acontece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Atendimento e agendamento passam para Concluído; a cobrança é criada ou sincronizada; os botões clínicos são bloqueados e as notificações de entrada são resolvidas.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ED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Atenção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Não clique repetidamente. Em erro temporário, atualize a página, confira se o atendimento já foi concluído e só então tente novamente.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1"/>
      </w:pPr>
      <w:r>
        <w:t>8. Planos, alimentos e receitas</w:t>
      </w:r>
    </w:p>
    <w:p>
      <w:pPr>
        <w:pStyle w:val="Heading2"/>
      </w:pPr>
      <w:r>
        <w:t>Criar plano a partir de modelo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Planos e receitas → Modelos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Escolha Usar modelo.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Selecione o paciente.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Criar rascunho.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Personalize antes de publicar.</w:t>
      </w:r>
    </w:p>
    <w:p>
      <w:pPr>
        <w:pStyle w:val="Heading2"/>
      </w:pPr>
      <w:r>
        <w:t>Editar e publicar plano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Plano do paciente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Ajuste título e refeições.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Inclua alimentos TACO ou receitas e defina quantidades.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Confira calorias e macros.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Use Ver PDF lado a lado.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Salvar para rascunho ou Publicar para disponibilizar.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6768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Visibilidade</w:t>
            </w:r>
          </w:p>
        </w:tc>
      </w:tr>
      <w:tr>
        <w:trPr>
          <w:cantSplit/>
        </w:trPr>
        <w:tc>
          <w:tcPr>
            <w:tcW w:type="dxa" w:w="259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Rascunho</w:t>
            </w:r>
          </w:p>
        </w:tc>
        <w:tc>
          <w:tcPr>
            <w:tcW w:type="dxa" w:w="676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Somente edição profissional.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Publicado</w:t>
            </w:r>
          </w:p>
        </w:tc>
        <w:tc>
          <w:tcPr>
            <w:tcW w:type="dxa" w:w="67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Plano vigente, disponível ao paciente conforme configuração.</w:t>
            </w:r>
          </w:p>
        </w:tc>
      </w:tr>
      <w:tr>
        <w:trPr>
          <w:cantSplit/>
        </w:trPr>
        <w:tc>
          <w:tcPr>
            <w:tcW w:type="dxa" w:w="2592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Arquivado</w:t>
            </w:r>
          </w:p>
        </w:tc>
        <w:tc>
          <w:tcPr>
            <w:tcW w:type="dxa" w:w="6768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Preservado no histórico, mas não vigente.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1"/>
      </w:pPr>
      <w:r>
        <w:t>9. Exames e documentos</w:t>
      </w:r>
    </w:p>
    <w:p>
      <w:pPr>
        <w:pStyle w:val="Heading2"/>
      </w:pPr>
      <w:r>
        <w:t>Revisar exame recebido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Exames recebidos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Filtre Pendentes e abra o arquivo.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Selecione um atendimento do mesmo paciente.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Registre interpretação e use Salvar no prontuário.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Marcar revisado.</w:t>
      </w:r>
    </w:p>
    <w:p>
      <w:pPr>
        <w:pStyle w:val="Heading2"/>
      </w:pPr>
      <w:r>
        <w:t>Emitir documento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Documentos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Escolha o tipo e o paciente.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Para recibo, selecione pagamento confirmado; para resumo, selecione atendimento.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Defina a disponibilidade no portal.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Emitir e visualizar A4.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Revise e use Imprimir / Salvar em PDF.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ED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Atenção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Documentos emitidos são numerados e congelados. Corrija a fonte antes de emitir; não altere informalmente o conteúdo depois.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1"/>
      </w:pPr>
      <w:r>
        <w:t>10. Financeiro</w:t>
      </w:r>
    </w:p>
    <w:p>
      <w:pPr>
        <w:pStyle w:val="Heading2"/>
      </w:pPr>
      <w:r>
        <w:t>Criar cobrança manual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Financeiro → Novo lançamento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Selecione paciente.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Informe descrição, valor, vencimento, forma de pagamento e observações.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Criar lançamento.</w:t>
      </w:r>
    </w:p>
    <w:p>
      <w:pPr>
        <w:pStyle w:val="Heading2"/>
      </w:pPr>
      <w:r>
        <w:t>Confirmar recebimento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Financeiro → cobrança aberta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Confira paciente, descrição e valor.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Receber somente após confirmar o pagamento.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7200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216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Pendente</w:t>
            </w:r>
          </w:p>
        </w:tc>
        <w:tc>
          <w:tcPr>
            <w:tcW w:type="dxa" w:w="720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Aguardando pagamento.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Vencido</w:t>
            </w:r>
          </w:p>
        </w:tc>
        <w:tc>
          <w:tcPr>
            <w:tcW w:type="dxa" w:w="72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Vencimento ultrapassado sem pagamento.</w:t>
            </w:r>
          </w:p>
        </w:tc>
      </w:tr>
      <w:tr>
        <w:trPr>
          <w:cantSplit/>
        </w:trPr>
        <w:tc>
          <w:tcPr>
            <w:tcW w:type="dxa" w:w="216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Pago</w:t>
            </w:r>
          </w:p>
        </w:tc>
        <w:tc>
          <w:tcPr>
            <w:tcW w:type="dxa" w:w="720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Pagamento confirmado; estado terminal enquanto não houver estorno formal.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Cancelado</w:t>
            </w:r>
          </w:p>
        </w:tc>
        <w:tc>
          <w:tcPr>
            <w:tcW w:type="dxa" w:w="72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Cobrança sem exigibilidade; pode ser reaberta apenas de forma consciente.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Sincronização com a consulta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Concluir atendimento gera ou sincroniza a cobrança. Alterações da consulta atualizam cobrança aberta. Cancelar a consulta cancela cobrança pendente ou vencida, mas preserva pagamento já confirmado.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1"/>
      </w:pPr>
      <w:r>
        <w:t>11. Notificações e mensagens</w:t>
      </w:r>
    </w:p>
    <w:p>
      <w:pPr>
        <w:pStyle w:val="Heading2"/>
      </w:pPr>
      <w:r>
        <w:t>Tratar notificações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Sino no cabeçalho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Clique em Abrir para ir à ação relacionada.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Use Marcar lida individualmente ou Marcar todas como lidas.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Use Dispensar alerta quando ele não precisar mais permanecer na fila.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ED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Atenção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Marcar como lida não é o mesmo que resolver a situação. Alertas de consulta ativa devem desaparecer quando o fluxo é concluído.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2"/>
      </w:pPr>
      <w:r>
        <w:t>Responder mensagem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Mensagens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Escolha o paciente.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Leia o histórico.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Digite a orientação e envie.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Use Atualizar Mensagens quando precisar sincronizar a lista.</w:t>
      </w:r>
    </w:p>
    <w:p>
      <w:pPr>
        <w:pStyle w:val="Heading1"/>
      </w:pPr>
      <w:r>
        <w:t>12. Configurações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Aba</w:t>
            </w:r>
          </w:p>
        </w:tc>
        <w:tc>
          <w:tcPr>
            <w:tcW w:type="dxa" w:w="6480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88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Consultório</w:t>
            </w:r>
          </w:p>
        </w:tc>
        <w:tc>
          <w:tcPr>
            <w:tcW w:type="dxa" w:w="648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Identidade, profissional, registro e contatos.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Atendimentos e valores</w:t>
            </w:r>
          </w:p>
        </w:tc>
        <w:tc>
          <w:tcPr>
            <w:tcW w:type="dxa" w:w="64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Duração, valores e padrões.</w:t>
            </w:r>
          </w:p>
        </w:tc>
      </w:tr>
      <w:tr>
        <w:trPr>
          <w:cantSplit/>
        </w:trPr>
        <w:tc>
          <w:tcPr>
            <w:tcW w:type="dxa" w:w="288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Mensagens</w:t>
            </w:r>
          </w:p>
        </w:tc>
        <w:tc>
          <w:tcPr>
            <w:tcW w:type="dxa" w:w="648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Modelos e variáveis de WhatsApp.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E-mail</w:t>
            </w:r>
          </w:p>
        </w:tc>
        <w:tc>
          <w:tcPr>
            <w:tcW w:type="dxa" w:w="64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SMTP, remetente, teste e modelos.</w:t>
            </w:r>
          </w:p>
        </w:tc>
      </w:tr>
      <w:tr>
        <w:trPr>
          <w:cantSplit/>
        </w:trPr>
        <w:tc>
          <w:tcPr>
            <w:tcW w:type="dxa" w:w="288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Segurança</w:t>
            </w:r>
          </w:p>
        </w:tc>
        <w:tc>
          <w:tcPr>
            <w:tcW w:type="dxa" w:w="6480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Alteração de senha.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Suporte/Diagnóstico</w:t>
            </w:r>
          </w:p>
        </w:tc>
        <w:tc>
          <w:tcPr>
            <w:tcW w:type="dxa" w:w="64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Prontidão, incidentes e infraestrutura.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2"/>
      </w:pPr>
      <w:r>
        <w:t>Configurar e-mail</w:t>
      </w:r>
    </w:p>
    <w:p>
      <w:pPr>
        <w:spacing w:after="0" w:line="288" w:lineRule="auto"/>
      </w:pPr>
      <w:r>
        <w:rPr>
          <w:rFonts w:ascii="Calibri" w:hAnsi="Calibri"/>
          <w:b/>
          <w:i w:val="0"/>
          <w:color w:val="164536"/>
          <w:sz w:val="20"/>
        </w:rPr>
        <w:t xml:space="preserve">Onde acessar: </w:t>
      </w:r>
      <w:r>
        <w:t>Configurações → E-mail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Informe servidor, porta, segurança, usuário, senha de aplicativo e remetente.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Salve.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Envie um teste e confirme o recebimento.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ED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Atenção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Quando o provedor exigir, use senha de aplicativo — não a senha comum da conta.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1"/>
      </w:pPr>
      <w:r>
        <w:t>13. Solução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Problema</w:t>
            </w:r>
          </w:p>
        </w:tc>
        <w:tc>
          <w:tcPr>
            <w:tcW w:type="dxa" w:w="6336"/>
            <w:shd w:fill="16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 que fazer</w:t>
            </w:r>
          </w:p>
        </w:tc>
      </w:tr>
      <w:tr>
        <w:trPr>
          <w:cantSplit/>
        </w:trPr>
        <w:tc>
          <w:tcPr>
            <w:tcW w:type="dxa" w:w="3024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Não consigo entrar</w:t>
            </w:r>
          </w:p>
        </w:tc>
        <w:tc>
          <w:tcPr>
            <w:tcW w:type="dxa" w:w="6336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Confira e-mail/CPF, senha e Caps Lock. Use recuperação se necessário.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Paciente sem portal</w:t>
            </w:r>
          </w:p>
        </w:tc>
        <w:tc>
          <w:tcPr>
            <w:tcW w:type="dxa" w:w="63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Cadastre e-mail válido e libere o acesso no card.</w:t>
            </w:r>
          </w:p>
        </w:tc>
      </w:tr>
      <w:tr>
        <w:trPr>
          <w:cantSplit/>
        </w:trPr>
        <w:tc>
          <w:tcPr>
            <w:tcW w:type="dxa" w:w="3024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Conflito de horário</w:t>
            </w:r>
          </w:p>
        </w:tc>
        <w:tc>
          <w:tcPr>
            <w:tcW w:type="dxa" w:w="6336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Escolha outro horário ou ajuste a consulta existente.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Alterações não salvas</w:t>
            </w:r>
          </w:p>
        </w:tc>
        <w:tc>
          <w:tcPr>
            <w:tcW w:type="dxa" w:w="63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Volte à etapa indicada e use Salvar e continuar.</w:t>
            </w:r>
          </w:p>
        </w:tc>
      </w:tr>
      <w:tr>
        <w:trPr>
          <w:cantSplit/>
        </w:trPr>
        <w:tc>
          <w:tcPr>
            <w:tcW w:type="dxa" w:w="3024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Etapa alterada em outra tela</w:t>
            </w:r>
          </w:p>
        </w:tc>
        <w:tc>
          <w:tcPr>
            <w:tcW w:type="dxa" w:w="6336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Recarregue o atendimento antes de salvar novamente.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Câmera/microfone bloqueados</w:t>
            </w:r>
          </w:p>
        </w:tc>
        <w:tc>
          <w:tcPr>
            <w:tcW w:type="dxa" w:w="63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Libere permissões, feche outro aplicativo que use o dispositivo e reconecte.</w:t>
            </w:r>
          </w:p>
        </w:tc>
      </w:tr>
      <w:tr>
        <w:trPr>
          <w:cantSplit/>
        </w:trPr>
        <w:tc>
          <w:tcPr>
            <w:tcW w:type="dxa" w:w="3024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Paciente não aparece</w:t>
            </w:r>
          </w:p>
        </w:tc>
        <w:tc>
          <w:tcPr>
            <w:tcW w:type="dxa" w:w="6336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Confirme que ambos abriram a mesma consulta e reconecte uma vez.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E-mail não enviado</w:t>
            </w:r>
          </w:p>
        </w:tc>
        <w:tc>
          <w:tcPr>
            <w:tcW w:type="dxa" w:w="63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Confira e-mail do paciente, Configurações → E-mail e teste SMTP.</w:t>
            </w:r>
          </w:p>
        </w:tc>
      </w:tr>
      <w:tr>
        <w:trPr>
          <w:cantSplit/>
        </w:trPr>
        <w:tc>
          <w:tcPr>
            <w:tcW w:type="dxa" w:w="3024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Cobrança não aparece</w:t>
            </w:r>
          </w:p>
        </w:tc>
        <w:tc>
          <w:tcPr>
            <w:tcW w:type="dxa" w:w="6336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Confirme vínculo, valor e conclusão do atendimento; atualize Financeiro.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Recibo indisponível</w:t>
            </w:r>
          </w:p>
        </w:tc>
        <w:tc>
          <w:tcPr>
            <w:tcW w:type="dxa" w:w="63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Marque o pagamento como Pago antes de emitir.</w:t>
            </w:r>
          </w:p>
        </w:tc>
      </w:tr>
      <w:tr>
        <w:trPr>
          <w:cantSplit/>
        </w:trPr>
        <w:tc>
          <w:tcPr>
            <w:tcW w:type="dxa" w:w="3024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Notificação permanece</w:t>
            </w:r>
          </w:p>
        </w:tc>
        <w:tc>
          <w:tcPr>
            <w:tcW w:type="dxa" w:w="6336"/>
            <w:shd w:fill="F4F6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Abra a ação vinculada; se o fluxo terminou, atualize e dispense o alerta residual.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Erro persistente</w:t>
            </w:r>
          </w:p>
        </w:tc>
        <w:tc>
          <w:tcPr>
            <w:tcW w:type="dxa" w:w="63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4322D"/>
                <w:sz w:val="18"/>
              </w:rPr>
              <w:t>Não repita cliques. Atualize, confirme o estado salvo e registre o erro para suporte.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pStyle w:val="Heading1"/>
      </w:pPr>
      <w:r>
        <w:t>14. Checklist de encerramento do dia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Nenhum atendimento permanece aberto por engano.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Consultas concluídas aparecem como Concluído.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Cobranças do dia foram conferidas, sem marcar como pago antes da confirmação.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Exames pendentes foram revisados ou sinalizados.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Mensagens urgentes foram respondidas.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Teleconsultas foram encerradas para todos.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D"/>
          <w:sz w:val="20"/>
        </w:rPr>
        <w:t>Nenhum dado clínico foi exportado ou compartilhado fora do fluxo autorizado.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64536"/>
                <w:sz w:val="21"/>
              </w:rPr>
              <w:t>Privacidade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2D"/>
                <w:sz w:val="20"/>
              </w:rPr>
              <w:t>Dados clínicos são sensíveis. Use contas individuais, bloqueie a tela ao se ausentar, evite downloads desnecessários e nunca envie prontuários por canais não autorizados.</w:t>
            </w:r>
          </w:p>
        </w:tc>
      </w:tr>
    </w:tbl>
    <w:p>
      <w:pPr>
        <w:spacing w:after="40" w:line="288" w:lineRule="auto"/>
      </w:pPr>
      <w:r>
        <w:rPr>
          <w:rFonts w:ascii="Calibri" w:hAnsi="Calibri"/>
          <w:b w:val="0"/>
          <w:i w:val="0"/>
          <w:color w:val="24322D"/>
          <w:sz w:val="21"/>
        </w:rPr>
      </w:r>
    </w:p>
    <w:p>
      <w:pPr>
        <w:spacing w:after="0" w:line="288" w:lineRule="auto"/>
        <w:jc w:val="center"/>
      </w:pPr>
      <w:r>
        <w:rPr>
          <w:rFonts w:ascii="Calibri" w:hAnsi="Calibri"/>
          <w:b w:val="0"/>
          <w:i w:val="0"/>
          <w:color w:val="66756F"/>
          <w:sz w:val="18"/>
        </w:rPr>
        <w:t>Fim do manual • Revisar esta versão após alterações relevantes da plataforma.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56F"/>
        <w:sz w:val="17"/>
      </w:rPr>
      <w:t>Versão 1.0  • 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6756F"/>
        <w:sz w:val="17"/>
      </w:rPr>
      <w:t>PORTAL NUTRICIONAL  •  MANUAL DA NUTRICIONISTA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2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645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2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45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