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B48A3A"/>
          <w:sz w:val="20"/>
        </w:rPr>
        <w:t>PLANO DE PRODUTO</w:t>
      </w:r>
    </w:p>
    <w:p>
      <w:pPr>
        <w:spacing w:after="120" w:line="264" w:lineRule="auto"/>
      </w:pPr>
      <w:r>
        <w:rPr>
          <w:rFonts w:ascii="Calibri" w:hAnsi="Calibri"/>
          <w:b/>
          <w:i w:val="0"/>
          <w:color w:val="173F32"/>
          <w:sz w:val="52"/>
        </w:rPr>
        <w:t>Distribuição, licenciamento e provisionamento automático</w:t>
      </w:r>
    </w:p>
    <w:p>
      <w:pPr>
        <w:spacing w:after="360" w:line="264" w:lineRule="auto"/>
      </w:pPr>
      <w:r>
        <w:rPr>
          <w:rFonts w:ascii="Calibri" w:hAnsi="Calibri"/>
          <w:b w:val="0"/>
          <w:i w:val="0"/>
          <w:color w:val="61716A"/>
          <w:sz w:val="26"/>
        </w:rPr>
        <w:t>Estratégia para transformar a plataforma nutricional atual em um produto comercial replicável, seguro e sustentável.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173F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28"/>
            <w:shd w:fill="173F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Definição</w:t>
            </w:r>
          </w:p>
        </w:tc>
      </w:tr>
      <w:tr>
        <w:trPr>
          <w:cantSplit/>
        </w:trPr>
        <w:tc>
          <w:tcPr>
            <w:tcW w:type="dxa" w:w="2232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Status</w:t>
            </w:r>
          </w:p>
        </w:tc>
        <w:tc>
          <w:tcPr>
            <w:tcW w:type="dxa" w:w="7128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Documento de planejamento futuro — executar após estabilização do sistema atual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Decisão recomendada</w:t>
            </w:r>
          </w:p>
        </w:tc>
        <w:tc>
          <w:tcPr>
            <w:tcW w:type="dxa" w:w="712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Começar com implantação individual gerenciada; evoluir para SaaS quando houver validação e receita</w:t>
            </w:r>
          </w:p>
        </w:tc>
      </w:tr>
      <w:tr>
        <w:trPr>
          <w:cantSplit/>
        </w:trPr>
        <w:tc>
          <w:tcPr>
            <w:tcW w:type="dxa" w:w="2232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Princípio central</w:t>
            </w:r>
          </w:p>
        </w:tc>
        <w:tc>
          <w:tcPr>
            <w:tcW w:type="dxa" w:w="7128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A nutricionista é dona das contas técnicas e dos dados clínicos; a plataforma automatiza a implantação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Horizonte</w:t>
            </w:r>
          </w:p>
        </w:tc>
        <w:tc>
          <w:tcPr>
            <w:tcW w:type="dxa" w:w="712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Piloto comercial, automação progressiva e posterior arquitetura multiempresa</w:t>
            </w:r>
          </w:p>
        </w:tc>
      </w:tr>
    </w:tbl>
    <w:p>
      <w:pPr>
        <w:spacing w:after="40" w:line="264" w:lineRule="auto"/>
      </w:pPr>
      <w:r>
        <w:rPr>
          <w:rFonts w:ascii="Calibri" w:hAnsi="Calibri"/>
          <w:b w:val="0"/>
          <w:i w:val="0"/>
          <w:color w:val="1E2C27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173F32"/>
                <w:sz w:val="22"/>
              </w:rPr>
              <w:t>Resumo executivo</w:t>
            </w:r>
          </w:p>
          <w:p>
            <w:pPr>
              <w:spacing w:after="0"/>
            </w:pPr>
            <w:r>
              <w:rPr>
                <w:rFonts w:ascii="Calibri" w:hAnsi="Calibri"/>
                <w:color w:val="1E2C27"/>
                <w:sz w:val="21"/>
              </w:rPr>
              <w:t>O caminho mais coerente para vender cedo, com baixo custo próprio, é manter um único código-base e criar uma instalação isolada por nutricionista. Cada cliente mantém seu banco clínico, hospedagem e envio de e-mail. Um serviço central pequeno controla licença, versão e atualizações, sem armazenar prontuários. Depois, o provisionamento pode virar um assistente automático dentro do próprio sistema.</w:t>
            </w:r>
          </w:p>
        </w:tc>
      </w:tr>
    </w:tbl>
    <w:p>
      <w:pPr>
        <w:spacing w:after="40" w:line="264" w:lineRule="auto"/>
      </w:pPr>
      <w:r>
        <w:rPr>
          <w:rFonts w:ascii="Calibri" w:hAnsi="Calibri"/>
          <w:b w:val="0"/>
          <w:i w:val="0"/>
          <w:color w:val="1E2C27"/>
          <w:sz w:val="22"/>
        </w:rPr>
      </w:r>
    </w:p>
    <w:p>
      <w:pPr>
        <w:pStyle w:val="Heading1"/>
        <w:keepNext/>
      </w:pPr>
      <w:r>
        <w:t>1. Ponto de partida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E2C27"/>
          <w:sz w:val="22"/>
        </w:rPr>
        <w:t>A aplicação atual já possui boa parte da base técnica necessária: frontend React/Vite, backend Fastify, PostgreSQL no Supabase, armazenamento de arquivos, envio por SMTP, migrações de banco, verificação de prontidão e assistente de configuração clínica.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E2C27"/>
          <w:sz w:val="22"/>
        </w:rPr>
        <w:t>Entretanto, o produto ainda opera como uma clínica única. A configuração é global, não existe isolamento por organização e a infraestrutura atual não foi desenhada para cadastrar várias nutricionistas no mesmo ambiente. Isso torna prematura uma venda como SaaS multiempresa.</w:t>
      </w:r>
    </w:p>
    <w:p>
      <w:pPr>
        <w:pStyle w:val="Heading1"/>
        <w:keepNext/>
      </w:pPr>
      <w:r>
        <w:t>2. Modelo recomendado para o primeiro lançamento</w:t>
      </w:r>
    </w:p>
    <w:p>
      <w:pPr>
        <w:pStyle w:val="Heading2"/>
        <w:keepNext/>
      </w:pPr>
      <w:r>
        <w:t>Implantação individual gerenciada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Uma instalação lógica por nutricionista, publicada a partir do mesmo repositório central.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Um banco clínico e um espaço de arquivos separados, preferencialmente na conta da própria cliente.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Hospedagem, domínio e serviço de e-mail sob titularidade da cliente.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Uma licença mensal ou anual, com implantação inicial e suporte definidos em contrato.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Atualizações distribuídas de forma padronizada, acompanhadas de migrações e testes automáticos.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173F32"/>
                <w:sz w:val="22"/>
              </w:rPr>
              <w:t>Por que começar assim?</w:t>
            </w:r>
          </w:p>
          <w:p>
            <w:pPr>
              <w:spacing w:after="0"/>
            </w:pPr>
            <w:r>
              <w:rPr>
                <w:rFonts w:ascii="Calibri" w:hAnsi="Calibri"/>
                <w:color w:val="1E2C27"/>
                <w:sz w:val="21"/>
              </w:rPr>
              <w:t>Permite comercializar sem reconstruir todo o sistema, evita misturar prontuários entre clínicas e transfere o custo variável da infraestrutura para quem a utiliza. A principal desvantagem — administrar várias instalações — é reduzida por automação, monitoramento e um processo único de atualização.</w:t>
            </w:r>
          </w:p>
        </w:tc>
      </w:tr>
    </w:tbl>
    <w:p>
      <w:pPr>
        <w:spacing w:after="40" w:line="264" w:lineRule="auto"/>
      </w:pPr>
      <w:r>
        <w:rPr>
          <w:rFonts w:ascii="Calibri" w:hAnsi="Calibri"/>
          <w:b w:val="0"/>
          <w:i w:val="0"/>
          <w:color w:val="1E2C27"/>
          <w:sz w:val="22"/>
        </w:rPr>
      </w:r>
    </w:p>
    <w:p>
      <w:pPr>
        <w:pStyle w:val="Heading1"/>
        <w:keepNext/>
      </w:pPr>
      <w:r>
        <w:t>3. Arquitetura-alvo da primeira fase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520"/>
        <w:gridCol w:w="4752"/>
      </w:tblGrid>
      <w:tr>
        <w:trPr>
          <w:tblHeader w:val="true"/>
        </w:trPr>
        <w:tc>
          <w:tcPr>
            <w:tcW w:type="dxa" w:w="2088"/>
            <w:shd w:fill="173F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2520"/>
            <w:shd w:fill="173F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Responsável / propriedade</w:t>
            </w:r>
          </w:p>
        </w:tc>
        <w:tc>
          <w:tcPr>
            <w:tcW w:type="dxa" w:w="4752"/>
            <w:shd w:fill="173F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Função</w:t>
            </w:r>
          </w:p>
        </w:tc>
      </w:tr>
      <w:tr>
        <w:trPr>
          <w:cantSplit/>
        </w:trPr>
        <w:tc>
          <w:tcPr>
            <w:tcW w:type="dxa" w:w="2088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Aplicação clínica</w:t>
            </w:r>
          </w:p>
        </w:tc>
        <w:tc>
          <w:tcPr>
            <w:tcW w:type="dxa" w:w="252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Cliente, com manutenção do fornecedor</w:t>
            </w:r>
          </w:p>
        </w:tc>
        <w:tc>
          <w:tcPr>
            <w:tcW w:type="dxa" w:w="4752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Painel da nutricionista, site público e portal do paciente.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Banco clínico</w:t>
            </w:r>
          </w:p>
        </w:tc>
        <w:tc>
          <w:tcPr>
            <w:tcW w:type="dxa" w:w="25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Cliente</w:t>
            </w:r>
          </w:p>
        </w:tc>
        <w:tc>
          <w:tcPr>
            <w:tcW w:type="dxa" w:w="475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Pacientes, prontuários, agenda, mensagens, consentimentos e auditoria.</w:t>
            </w:r>
          </w:p>
        </w:tc>
      </w:tr>
      <w:tr>
        <w:trPr>
          <w:cantSplit/>
        </w:trPr>
        <w:tc>
          <w:tcPr>
            <w:tcW w:type="dxa" w:w="2088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Armazenamento</w:t>
            </w:r>
          </w:p>
        </w:tc>
        <w:tc>
          <w:tcPr>
            <w:tcW w:type="dxa" w:w="252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Cliente</w:t>
            </w:r>
          </w:p>
        </w:tc>
        <w:tc>
          <w:tcPr>
            <w:tcW w:type="dxa" w:w="4752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Exames, documentos e materiais; nunca embutidos no serviço de licença.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E-mail transacional</w:t>
            </w:r>
          </w:p>
        </w:tc>
        <w:tc>
          <w:tcPr>
            <w:tcW w:type="dxa" w:w="25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Cliente</w:t>
            </w:r>
          </w:p>
        </w:tc>
        <w:tc>
          <w:tcPr>
            <w:tcW w:type="dxa" w:w="475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Confirmações, recuperação de conta, finalização e notificações.</w:t>
            </w:r>
          </w:p>
        </w:tc>
      </w:tr>
      <w:tr>
        <w:trPr>
          <w:cantSplit/>
        </w:trPr>
        <w:tc>
          <w:tcPr>
            <w:tcW w:type="dxa" w:w="2088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Serviço de licença e versão</w:t>
            </w:r>
          </w:p>
        </w:tc>
        <w:tc>
          <w:tcPr>
            <w:tcW w:type="dxa" w:w="252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Fornecedor</w:t>
            </w:r>
          </w:p>
        </w:tc>
        <w:tc>
          <w:tcPr>
            <w:tcW w:type="dxa" w:w="4752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Plano, validade, versão permitida e status da instalação; sem dados clínicos.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Código e releases</w:t>
            </w:r>
          </w:p>
        </w:tc>
        <w:tc>
          <w:tcPr>
            <w:tcW w:type="dxa" w:w="25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Fornecedor</w:t>
            </w:r>
          </w:p>
        </w:tc>
        <w:tc>
          <w:tcPr>
            <w:tcW w:type="dxa" w:w="475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Fonte privada, pacotes assinados, migrações e histórico de versões.</w:t>
            </w:r>
          </w:p>
        </w:tc>
      </w:tr>
      <w:tr>
        <w:trPr>
          <w:cantSplit/>
        </w:trPr>
        <w:tc>
          <w:tcPr>
            <w:tcW w:type="dxa" w:w="2088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Monitoramento</w:t>
            </w:r>
          </w:p>
        </w:tc>
        <w:tc>
          <w:tcPr>
            <w:tcW w:type="dxa" w:w="252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Compartilhado por contrato</w:t>
            </w:r>
          </w:p>
        </w:tc>
        <w:tc>
          <w:tcPr>
            <w:tcW w:type="dxa" w:w="4752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Disponibilidade, erros técnicos e alertas, com minimização de dados pessoais.</w:t>
            </w:r>
          </w:p>
        </w:tc>
      </w:tr>
    </w:tbl>
    <w:p>
      <w:pPr>
        <w:spacing w:after="40" w:line="264" w:lineRule="auto"/>
      </w:pPr>
      <w:r>
        <w:rPr>
          <w:rFonts w:ascii="Calibri" w:hAnsi="Calibri"/>
          <w:b w:val="0"/>
          <w:i w:val="0"/>
          <w:color w:val="1E2C27"/>
          <w:sz w:val="22"/>
        </w:rPr>
      </w:r>
    </w:p>
    <w:p>
      <w:pPr>
        <w:pStyle w:val="Heading2"/>
        <w:keepNext/>
      </w:pPr>
      <w:r>
        <w:t>Separação de dados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E2C27"/>
          <w:sz w:val="22"/>
        </w:rPr>
        <w:t>O banco central do fornecedor deve guardar somente informações comerciais e operacionais: clínica, identificador da instalação, plano, validade, versão e eventos técnicos mínimos. O banco da cliente guarda todo o conteúdo clínico. Essa separação reduz exposição, facilita encerramento contratual e deixa claro quem controla os dados.</w:t>
      </w:r>
    </w:p>
    <w:p>
      <w:pPr>
        <w:pStyle w:val="Heading1"/>
        <w:keepNext/>
      </w:pPr>
      <w:r>
        <w:t>4. Experiência de configuração da nutricionista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E2C27"/>
          <w:sz w:val="22"/>
        </w:rPr>
        <w:t>A experiência futura deve acontecer em um único assistente, sem exigir conhecimento técnico. A cliente autoriza cada fornecedor e acompanha o progresso em linguagem simples.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384"/>
        <w:gridCol w:w="4464"/>
      </w:tblGrid>
      <w:tr>
        <w:trPr>
          <w:tblHeader w:val="true"/>
        </w:trPr>
        <w:tc>
          <w:tcPr>
            <w:tcW w:type="dxa" w:w="1512"/>
            <w:shd w:fill="173F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384"/>
            <w:shd w:fill="173F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Experiência da cliente</w:t>
            </w:r>
          </w:p>
        </w:tc>
        <w:tc>
          <w:tcPr>
            <w:tcW w:type="dxa" w:w="4464"/>
            <w:shd w:fill="173F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Automação do sistema</w:t>
            </w:r>
          </w:p>
        </w:tc>
      </w:tr>
      <w:tr>
        <w:trPr>
          <w:cantSplit/>
        </w:trPr>
        <w:tc>
          <w:tcPr>
            <w:tcW w:type="dxa" w:w="1512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1. Criar acesso</w:t>
            </w:r>
          </w:p>
        </w:tc>
        <w:tc>
          <w:tcPr>
            <w:tcW w:type="dxa" w:w="3384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Cadastro, confirmação de e-mail e aceite dos termos.</w:t>
            </w:r>
          </w:p>
        </w:tc>
        <w:tc>
          <w:tcPr>
            <w:tcW w:type="dxa" w:w="4464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Cria registro comercial e inicia implantação.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2. Conectar infraestrutura</w:t>
            </w:r>
          </w:p>
        </w:tc>
        <w:tc>
          <w:tcPr>
            <w:tcW w:type="dxa" w:w="338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Botões como “Conectar banco”, “Conectar hospedagem” e “Conectar e-mail”.</w:t>
            </w:r>
          </w:p>
        </w:tc>
        <w:tc>
          <w:tcPr>
            <w:tcW w:type="dxa" w:w="446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Recebe autorização temporária e limitada; nunca solicita senha por mensagem.</w:t>
            </w:r>
          </w:p>
        </w:tc>
      </w:tr>
      <w:tr>
        <w:trPr>
          <w:cantSplit/>
        </w:trPr>
        <w:tc>
          <w:tcPr>
            <w:tcW w:type="dxa" w:w="1512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3. Configurar clínica</w:t>
            </w:r>
          </w:p>
        </w:tc>
        <w:tc>
          <w:tcPr>
            <w:tcW w:type="dxa" w:w="3384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Nome, identidade visual, endereço, horários, contatos e domínio opcional.</w:t>
            </w:r>
          </w:p>
        </w:tc>
        <w:tc>
          <w:tcPr>
            <w:tcW w:type="dxa" w:w="4464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Valida campos e prepara configurações.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4. Provisionar</w:t>
            </w:r>
          </w:p>
        </w:tc>
        <w:tc>
          <w:tcPr>
            <w:tcW w:type="dxa" w:w="338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A cliente acompanha uma lista de progresso.</w:t>
            </w:r>
          </w:p>
        </w:tc>
        <w:tc>
          <w:tcPr>
            <w:tcW w:type="dxa" w:w="446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Aplica schema, storage, variáveis, administrador e publicação.</w:t>
            </w:r>
          </w:p>
        </w:tc>
      </w:tr>
      <w:tr>
        <w:trPr>
          <w:cantSplit/>
        </w:trPr>
        <w:tc>
          <w:tcPr>
            <w:tcW w:type="dxa" w:w="1512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5. Validar</w:t>
            </w:r>
          </w:p>
        </w:tc>
        <w:tc>
          <w:tcPr>
            <w:tcW w:type="dxa" w:w="3384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Teste guiado de login, agenda, prontuário, e-mail e portal.</w:t>
            </w:r>
          </w:p>
        </w:tc>
        <w:tc>
          <w:tcPr>
            <w:tcW w:type="dxa" w:w="4464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Executa health checks e registra a versão.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6. Publicar</w:t>
            </w:r>
          </w:p>
        </w:tc>
        <w:tc>
          <w:tcPr>
            <w:tcW w:type="dxa" w:w="338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Exibe endereço final e orientações iniciais.</w:t>
            </w:r>
          </w:p>
        </w:tc>
        <w:tc>
          <w:tcPr>
            <w:tcW w:type="dxa" w:w="446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Ativa licença e gera relatório de implantação.</w:t>
            </w:r>
          </w:p>
        </w:tc>
      </w:tr>
    </w:tbl>
    <w:p>
      <w:pPr>
        <w:spacing w:after="40" w:line="264" w:lineRule="auto"/>
      </w:pPr>
      <w:r>
        <w:rPr>
          <w:rFonts w:ascii="Calibri" w:hAnsi="Calibri"/>
          <w:b w:val="0"/>
          <w:i w:val="0"/>
          <w:color w:val="1E2C27"/>
          <w:sz w:val="22"/>
        </w:rPr>
      </w:r>
    </w:p>
    <w:p>
      <w:pPr>
        <w:pStyle w:val="Heading1"/>
        <w:keepNext/>
      </w:pPr>
      <w:r>
        <w:t>5. Níveis de automação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176"/>
        <w:gridCol w:w="3528"/>
      </w:tblGrid>
      <w:tr>
        <w:trPr>
          <w:tblHeader w:val="true"/>
        </w:trPr>
        <w:tc>
          <w:tcPr>
            <w:tcW w:type="dxa" w:w="1656"/>
            <w:shd w:fill="173F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Nível</w:t>
            </w:r>
          </w:p>
        </w:tc>
        <w:tc>
          <w:tcPr>
            <w:tcW w:type="dxa" w:w="4176"/>
            <w:shd w:fill="173F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Como funciona</w:t>
            </w:r>
          </w:p>
        </w:tc>
        <w:tc>
          <w:tcPr>
            <w:tcW w:type="dxa" w:w="3528"/>
            <w:shd w:fill="173F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Quando adotar</w:t>
            </w:r>
          </w:p>
        </w:tc>
      </w:tr>
      <w:tr>
        <w:trPr>
          <w:cantSplit/>
        </w:trPr>
        <w:tc>
          <w:tcPr>
            <w:tcW w:type="dxa" w:w="1656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A — Assistido</w:t>
            </w:r>
          </w:p>
        </w:tc>
        <w:tc>
          <w:tcPr>
            <w:tcW w:type="dxa" w:w="4176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A cliente cria as contas; o implantador insere as conexões e executa um instalador padronizado.</w:t>
            </w:r>
          </w:p>
        </w:tc>
        <w:tc>
          <w:tcPr>
            <w:tcW w:type="dxa" w:w="3528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Primeiros clientes e validação comercial.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B — Tokens limitados</w:t>
            </w:r>
          </w:p>
        </w:tc>
        <w:tc>
          <w:tcPr>
            <w:tcW w:type="dxa" w:w="417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A cliente gera credenciais temporárias com escopo mínimo; o sistema provisiona e revoga ao terminar.</w:t>
            </w:r>
          </w:p>
        </w:tc>
        <w:tc>
          <w:tcPr>
            <w:tcW w:type="dxa" w:w="352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Após o fluxo manual estar estável.</w:t>
            </w:r>
          </w:p>
        </w:tc>
      </w:tr>
      <w:tr>
        <w:trPr>
          <w:cantSplit/>
        </w:trPr>
        <w:tc>
          <w:tcPr>
            <w:tcW w:type="dxa" w:w="1656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C — OAuth oficial</w:t>
            </w:r>
          </w:p>
        </w:tc>
        <w:tc>
          <w:tcPr>
            <w:tcW w:type="dxa" w:w="4176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Botões de conexão autorizam fornecedores sem compartilhar senhas.</w:t>
            </w:r>
          </w:p>
        </w:tc>
        <w:tc>
          <w:tcPr>
            <w:tcW w:type="dxa" w:w="3528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Quando volume justificar integrações e manutenção.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D — SaaS multiempresa</w:t>
            </w:r>
          </w:p>
        </w:tc>
        <w:tc>
          <w:tcPr>
            <w:tcW w:type="dxa" w:w="417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Cadastro e publicação imediatos em infraestrutura central com isolamento por clínica.</w:t>
            </w:r>
          </w:p>
        </w:tc>
        <w:tc>
          <w:tcPr>
            <w:tcW w:type="dxa" w:w="352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Somente após receita, observabilidade e testes rigorosos de segregação.</w:t>
            </w:r>
          </w:p>
        </w:tc>
      </w:tr>
    </w:tbl>
    <w:p>
      <w:pPr>
        <w:spacing w:after="40" w:line="264" w:lineRule="auto"/>
      </w:pPr>
      <w:r>
        <w:rPr>
          <w:rFonts w:ascii="Calibri" w:hAnsi="Calibri"/>
          <w:b w:val="0"/>
          <w:i w:val="0"/>
          <w:color w:val="1E2C27"/>
          <w:sz w:val="22"/>
        </w:rPr>
      </w:r>
    </w:p>
    <w:p>
      <w:pPr>
        <w:pStyle w:val="Heading1"/>
        <w:keepNext/>
      </w:pPr>
      <w:r>
        <w:t>6. Ferramentas sugeridas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4320"/>
      </w:tblGrid>
      <w:tr>
        <w:trPr>
          <w:tblHeader w:val="true"/>
        </w:trPr>
        <w:tc>
          <w:tcPr>
            <w:tcW w:type="dxa" w:w="1944"/>
            <w:shd w:fill="173F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Área</w:t>
            </w:r>
          </w:p>
        </w:tc>
        <w:tc>
          <w:tcPr>
            <w:tcW w:type="dxa" w:w="3096"/>
            <w:shd w:fill="173F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Ferramenta inicial</w:t>
            </w:r>
          </w:p>
        </w:tc>
        <w:tc>
          <w:tcPr>
            <w:tcW w:type="dxa" w:w="4320"/>
            <w:shd w:fill="173F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Observação</w:t>
            </w:r>
          </w:p>
        </w:tc>
      </w:tr>
      <w:tr>
        <w:trPr>
          <w:cantSplit/>
        </w:trPr>
        <w:tc>
          <w:tcPr>
            <w:tcW w:type="dxa" w:w="1944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Código e releases</w:t>
            </w:r>
          </w:p>
        </w:tc>
        <w:tc>
          <w:tcPr>
            <w:tcW w:type="dxa" w:w="3096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GitHub privado</w:t>
            </w:r>
          </w:p>
        </w:tc>
        <w:tc>
          <w:tcPr>
            <w:tcW w:type="dxa" w:w="432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Um repositório central, tags de versão e pipeline de implantação.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Frontend/backend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Stack atual React + Vite + Fastify</w:t>
            </w:r>
          </w:p>
        </w:tc>
        <w:tc>
          <w:tcPr>
            <w:tcW w:type="dxa" w:w="43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Preserva investimento e reduz retrabalho.</w:t>
            </w:r>
          </w:p>
        </w:tc>
      </w:tr>
      <w:tr>
        <w:trPr>
          <w:cantSplit/>
        </w:trPr>
        <w:tc>
          <w:tcPr>
            <w:tcW w:type="dxa" w:w="1944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Banco e arquivos</w:t>
            </w:r>
          </w:p>
        </w:tc>
        <w:tc>
          <w:tcPr>
            <w:tcW w:type="dxa" w:w="3096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Supabase/PostgreSQL + Storage</w:t>
            </w:r>
          </w:p>
        </w:tc>
        <w:tc>
          <w:tcPr>
            <w:tcW w:type="dxa" w:w="432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Projeto separado por cliente na fase individual.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Hospedagem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Vercel ou alternativa comercial compatível</w:t>
            </w:r>
          </w:p>
        </w:tc>
        <w:tc>
          <w:tcPr>
            <w:tcW w:type="dxa" w:w="43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O plano deve permitir uso comercial e atender os requisitos do produto.</w:t>
            </w:r>
          </w:p>
        </w:tc>
      </w:tr>
      <w:tr>
        <w:trPr>
          <w:cantSplit/>
        </w:trPr>
        <w:tc>
          <w:tcPr>
            <w:tcW w:type="dxa" w:w="1944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E-mail</w:t>
            </w:r>
          </w:p>
        </w:tc>
        <w:tc>
          <w:tcPr>
            <w:tcW w:type="dxa" w:w="3096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SMTP da cliente ou provedor transacional</w:t>
            </w:r>
          </w:p>
        </w:tc>
        <w:tc>
          <w:tcPr>
            <w:tcW w:type="dxa" w:w="432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Configurar SPF, DKIM e DMARC quando aplicável.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Aplicativo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PWA primeiro; Tauri depois</w:t>
            </w:r>
          </w:p>
        </w:tc>
        <w:tc>
          <w:tcPr>
            <w:tcW w:type="dxa" w:w="43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O executável melhora distribuição, mas servidor e banco continuam online.</w:t>
            </w:r>
          </w:p>
        </w:tc>
      </w:tr>
      <w:tr>
        <w:trPr>
          <w:cantSplit/>
        </w:trPr>
        <w:tc>
          <w:tcPr>
            <w:tcW w:type="dxa" w:w="1944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Licenciamento</w:t>
            </w:r>
          </w:p>
        </w:tc>
        <w:tc>
          <w:tcPr>
            <w:tcW w:type="dxa" w:w="3096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API central pequena</w:t>
            </w:r>
          </w:p>
        </w:tc>
        <w:tc>
          <w:tcPr>
            <w:tcW w:type="dxa" w:w="432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Entitlements assinados, tolerância offline curta e auditoria técnica.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Domínio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Subdomínio padrão; domínio próprio opcional</w:t>
            </w:r>
          </w:p>
        </w:tc>
        <w:tc>
          <w:tcPr>
            <w:tcW w:type="dxa" w:w="43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Domínio próprio entra quando a cliente desejar e assumir o custo.</w:t>
            </w:r>
          </w:p>
        </w:tc>
      </w:tr>
    </w:tbl>
    <w:p>
      <w:pPr>
        <w:spacing w:after="40" w:line="264" w:lineRule="auto"/>
      </w:pPr>
      <w:r>
        <w:rPr>
          <w:rFonts w:ascii="Calibri" w:hAnsi="Calibri"/>
          <w:b w:val="0"/>
          <w:i w:val="0"/>
          <w:color w:val="1E2C27"/>
          <w:sz w:val="22"/>
        </w:rPr>
      </w:r>
    </w:p>
    <w:p>
      <w:pPr>
        <w:pStyle w:val="Heading1"/>
        <w:keepNext/>
      </w:pPr>
      <w:r>
        <w:t>7. Licença, expiração e continuidade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A licença deve ser validada online em intervalos controlados, com comprovante assinado e período curto de tolerância offline.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Expiração nunca deve apagar, corromper ou esconder dados. O modo adequado é somente leitura, com exportação disponível e aviso claro de regularização.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Bloqueios devem atingir funções comerciais e novas gravações, preservando acesso necessário à continuidade e portabilidade dos registros.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Atualizações devem usar versões, changelog, backup anterior, migrações idempotentes e possibilidade de reversão compatível.</w:t>
      </w:r>
    </w:p>
    <w:p>
      <w:pPr>
        <w:pStyle w:val="Heading1"/>
        <w:keepNext/>
      </w:pPr>
      <w:r>
        <w:t>8. Segurança, privacidade e conformidade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EFE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173F32"/>
                <w:sz w:val="22"/>
              </w:rPr>
              <w:t>Dados de saúde exigem tratamento reforçado</w:t>
            </w:r>
          </w:p>
          <w:p>
            <w:pPr>
              <w:spacing w:after="0"/>
            </w:pPr>
            <w:r>
              <w:rPr>
                <w:rFonts w:ascii="Calibri" w:hAnsi="Calibri"/>
                <w:color w:val="1E2C27"/>
                <w:sz w:val="21"/>
              </w:rPr>
              <w:t>Prontuários, exames e informações clínicas são dados pessoais sensíveis. Antes da operação comercial, contratos, controles de acesso, auditoria, retenção, backup, resposta a incidentes e responsabilidades entre as partes devem ser formalizados.</w:t>
            </w:r>
          </w:p>
        </w:tc>
      </w:tr>
    </w:tbl>
    <w:p>
      <w:pPr>
        <w:spacing w:after="40" w:line="264" w:lineRule="auto"/>
      </w:pPr>
      <w:r>
        <w:rPr>
          <w:rFonts w:ascii="Calibri" w:hAnsi="Calibri"/>
          <w:b w:val="0"/>
          <w:i w:val="0"/>
          <w:color w:val="1E2C27"/>
          <w:sz w:val="22"/>
        </w:rPr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Isolamento comprovado entre clínicas e princípio de menor privilégio em todas as integrações.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Criptografia em trânsito e em repouso, autenticação forte e sessões revogáveis.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Logs sem conteúdo clínico desnecessário; trilha de auditoria para acesso, edição e exportação.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Backups testados e plano de recuperação, não apenas backup configurado.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Contrato definindo controladora, operadora, suboperadores, suporte, incidente, saída e portabilidade.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Revisão jurídica e regulatória antes do lançamento; este documento não substitui aconselhamento jurídico.</w:t>
      </w:r>
    </w:p>
    <w:p>
      <w:pPr>
        <w:pStyle w:val="Heading1"/>
        <w:keepNext/>
      </w:pPr>
      <w:r>
        <w:t>9. Roteiro recomendado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680"/>
        <w:gridCol w:w="3024"/>
      </w:tblGrid>
      <w:tr>
        <w:trPr>
          <w:tblHeader w:val="true"/>
        </w:trPr>
        <w:tc>
          <w:tcPr>
            <w:tcW w:type="dxa" w:w="1656"/>
            <w:shd w:fill="173F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4680"/>
            <w:shd w:fill="173F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Entregas principais</w:t>
            </w:r>
          </w:p>
        </w:tc>
        <w:tc>
          <w:tcPr>
            <w:tcW w:type="dxa" w:w="3024"/>
            <w:shd w:fill="173F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Critério de saída</w:t>
            </w:r>
          </w:p>
        </w:tc>
      </w:tr>
      <w:tr>
        <w:trPr>
          <w:cantSplit/>
        </w:trPr>
        <w:tc>
          <w:tcPr>
            <w:tcW w:type="dxa" w:w="1656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0. Estabilizar produto atual</w:t>
            </w:r>
          </w:p>
        </w:tc>
        <w:tc>
          <w:tcPr>
            <w:tcW w:type="dxa" w:w="468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Fechar fluxos clínicos, teleconsulta, notificações, e-mail, responsividade, testes e observabilidade.</w:t>
            </w:r>
          </w:p>
        </w:tc>
        <w:tc>
          <w:tcPr>
            <w:tcW w:type="dxa" w:w="3024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Uso interno confiável sem erros críticos recorrentes.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1. Preparar produto instalável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Configuração externa, migrações repetíveis, health check, documentação, backups e marca parametrizada.</w:t>
            </w:r>
          </w:p>
        </w:tc>
        <w:tc>
          <w:tcPr>
            <w:tcW w:type="dxa" w:w="30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Nova clínica implantada por checklist sem editar código.</w:t>
            </w:r>
          </w:p>
        </w:tc>
      </w:tr>
      <w:tr>
        <w:trPr>
          <w:cantSplit/>
        </w:trPr>
        <w:tc>
          <w:tcPr>
            <w:tcW w:type="dxa" w:w="1656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2. Piloto individual</w:t>
            </w:r>
          </w:p>
        </w:tc>
        <w:tc>
          <w:tcPr>
            <w:tcW w:type="dxa" w:w="468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Licença simples, instalação assistida, contrato, suporte e 2–5 clientes piloto.</w:t>
            </w:r>
          </w:p>
        </w:tc>
        <w:tc>
          <w:tcPr>
            <w:tcW w:type="dxa" w:w="3024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Implantações reproduzíveis e custos conhecidos.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3. Automatizar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Portal de implantação, tokens limitados, provisionamento, validação e atualização central.</w:t>
            </w:r>
          </w:p>
        </w:tc>
        <w:tc>
          <w:tcPr>
            <w:tcW w:type="dxa" w:w="30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Maioria das etapas sem intervenção técnica.</w:t>
            </w:r>
          </w:p>
        </w:tc>
      </w:tr>
      <w:tr>
        <w:trPr>
          <w:cantSplit/>
        </w:trPr>
        <w:tc>
          <w:tcPr>
            <w:tcW w:type="dxa" w:w="1656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4. PWA e aplicativo</w:t>
            </w:r>
          </w:p>
        </w:tc>
        <w:tc>
          <w:tcPr>
            <w:tcW w:type="dxa" w:w="468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Instalação PWA; avaliar Tauri e atualização do cliente desktop.</w:t>
            </w:r>
          </w:p>
        </w:tc>
        <w:tc>
          <w:tcPr>
            <w:tcW w:type="dxa" w:w="3024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Benefício comprovado sem duplicar backend.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5. Evoluir para SaaS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Clínicas, membros, papéis, tenant_id, políticas de isolamento, billing e administração central.</w:t>
            </w:r>
          </w:p>
        </w:tc>
        <w:tc>
          <w:tcPr>
            <w:tcW w:type="dxa" w:w="30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Testes de segregação, capacidade, suporte e conformidade aprovados.</w:t>
            </w:r>
          </w:p>
        </w:tc>
      </w:tr>
    </w:tbl>
    <w:p>
      <w:pPr>
        <w:spacing w:after="40" w:line="264" w:lineRule="auto"/>
      </w:pPr>
      <w:r>
        <w:rPr>
          <w:rFonts w:ascii="Calibri" w:hAnsi="Calibri"/>
          <w:b w:val="0"/>
          <w:i w:val="0"/>
          <w:color w:val="1E2C27"/>
          <w:sz w:val="22"/>
        </w:rPr>
      </w:r>
    </w:p>
    <w:p>
      <w:pPr>
        <w:pStyle w:val="Heading1"/>
        <w:keepNext/>
      </w:pPr>
      <w:r>
        <w:t>10. Critérios de pronto para vender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Uma nova instalação é criada sem alterar código-fonte específico do cliente.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O banco da cliente pode ser migrado, restaurado e exportado por processo documentado.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Nenhuma informação clínica chega ao serviço central de licença ou aos logs de produto.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Falhas de e-mail, banco, storage e publicação produzem mensagens úteis e são recuperáveis.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A atualização é testada em ambiente de homologação e possui plano de rollback.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Cancelamento, expiração e transferência de titularidade possuem fluxo definido.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Termos de infraestrutura permitem uso comercial; custos e limites estão registrados.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E2C27"/>
          <w:sz w:val="21"/>
        </w:rPr>
        <w:t>Contratos, política de privacidade, segurança e suporte foram revisados profissionalmente.</w:t>
      </w:r>
    </w:p>
    <w:p>
      <w:pPr>
        <w:pStyle w:val="Heading1"/>
        <w:keepNext/>
      </w:pPr>
      <w:r>
        <w:t>11. Decisões adiadas conscientemente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E2C27"/>
          <w:sz w:val="22"/>
        </w:rPr>
        <w:t>Não é necessário decidir agora o fornecedor definitivo de cobrança, o empacotamento desktop, a arquitetura multiempresa completa ou integrações OAuth com todos os provedores. Essas decisões devem ser tomadas após estabilização técnica e aprendizagem com clientes piloto. O projeto atual deve apenas evitar bloqueios à futura parametrização, migração e automação.</w:t>
      </w:r>
    </w:p>
    <w:p>
      <w:pPr>
        <w:pStyle w:val="Heading1"/>
        <w:keepNext/>
      </w:pPr>
      <w:r>
        <w:t>12. Próxima ação após concluir o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173F32"/>
                <w:sz w:val="22"/>
              </w:rPr>
              <w:t>Marco recomendado</w:t>
            </w:r>
          </w:p>
          <w:p>
            <w:pPr>
              <w:spacing w:after="0"/>
            </w:pPr>
            <w:r>
              <w:rPr>
                <w:rFonts w:ascii="Calibri" w:hAnsi="Calibri"/>
                <w:color w:val="1E2C27"/>
                <w:sz w:val="21"/>
              </w:rPr>
              <w:t>Criar um “kit de implantação piloto” contendo: configuração por variáveis, identidade visual parametrizada, migrações reproduzíveis, criação segura do administrador, verificação de saúde, backup inicial, testes essenciais, contrato operacional e relatório final. Em seguida, implantar uma segunda clínica de teste. Se ela puder ser criada sem alterar o código, o produto estará pronto para o primeiro piloto comercial.</w:t>
            </w:r>
          </w:p>
        </w:tc>
      </w:tr>
    </w:tbl>
    <w:p>
      <w:pPr>
        <w:spacing w:after="40" w:line="264" w:lineRule="auto"/>
      </w:pPr>
      <w:r>
        <w:rPr>
          <w:rFonts w:ascii="Calibri" w:hAnsi="Calibri"/>
          <w:b w:val="0"/>
          <w:i w:val="0"/>
          <w:color w:val="1E2C27"/>
          <w:sz w:val="22"/>
        </w:rPr>
      </w:r>
    </w:p>
    <w:p>
      <w:pPr>
        <w:pStyle w:val="Heading1"/>
        <w:keepNext/>
      </w:pPr>
      <w:r>
        <w:t>Registro da decisão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16"/>
        <w:gridCol w:w="3744"/>
      </w:tblGrid>
      <w:tr>
        <w:trPr>
          <w:tblHeader w:val="true"/>
        </w:trPr>
        <w:tc>
          <w:tcPr>
            <w:tcW w:type="dxa" w:w="5616"/>
            <w:shd w:fill="173F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Decisão</w:t>
            </w:r>
          </w:p>
        </w:tc>
        <w:tc>
          <w:tcPr>
            <w:tcW w:type="dxa" w:w="3744"/>
            <w:shd w:fill="173F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</w:tr>
      <w:tr>
        <w:trPr>
          <w:cantSplit/>
        </w:trPr>
        <w:tc>
          <w:tcPr>
            <w:tcW w:type="dxa" w:w="5616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Modelo inicial</w:t>
            </w:r>
          </w:p>
        </w:tc>
        <w:tc>
          <w:tcPr>
            <w:tcW w:type="dxa" w:w="3744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Implantação individual gerenciada — recomendado.</w:t>
            </w:r>
          </w:p>
        </w:tc>
      </w:tr>
      <w:tr>
        <w:trPr>
          <w:cantSplit/>
        </w:trPr>
        <w:tc>
          <w:tcPr>
            <w:tcW w:type="dxa" w:w="561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Titularidade de dados e contas</w:t>
            </w:r>
          </w:p>
        </w:tc>
        <w:tc>
          <w:tcPr>
            <w:tcW w:type="dxa" w:w="374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Nutricionista/cliente — recomendado.</w:t>
            </w:r>
          </w:p>
        </w:tc>
      </w:tr>
      <w:tr>
        <w:trPr>
          <w:cantSplit/>
        </w:trPr>
        <w:tc>
          <w:tcPr>
            <w:tcW w:type="dxa" w:w="5616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Banco central</w:t>
            </w:r>
          </w:p>
        </w:tc>
        <w:tc>
          <w:tcPr>
            <w:tcW w:type="dxa" w:w="3744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Somente licença, versão e operação mínima — recomendado.</w:t>
            </w:r>
          </w:p>
        </w:tc>
      </w:tr>
      <w:tr>
        <w:trPr>
          <w:cantSplit/>
        </w:trPr>
        <w:tc>
          <w:tcPr>
            <w:tcW w:type="dxa" w:w="561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Aplicativo desktop</w:t>
            </w:r>
          </w:p>
        </w:tc>
        <w:tc>
          <w:tcPr>
            <w:tcW w:type="dxa" w:w="374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Posterior; PWA primeiro — recomendado.</w:t>
            </w:r>
          </w:p>
        </w:tc>
      </w:tr>
      <w:tr>
        <w:trPr>
          <w:cantSplit/>
        </w:trPr>
        <w:tc>
          <w:tcPr>
            <w:tcW w:type="dxa" w:w="5616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Provisionamento totalmente automático</w:t>
            </w:r>
          </w:p>
        </w:tc>
        <w:tc>
          <w:tcPr>
            <w:tcW w:type="dxa" w:w="3744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Evolução gradual após pilotos — recomendado.</w:t>
            </w:r>
          </w:p>
        </w:tc>
      </w:tr>
      <w:tr>
        <w:trPr>
          <w:cantSplit/>
        </w:trPr>
        <w:tc>
          <w:tcPr>
            <w:tcW w:type="dxa" w:w="561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SaaS multiempresa</w:t>
            </w:r>
          </w:p>
        </w:tc>
        <w:tc>
          <w:tcPr>
            <w:tcW w:type="dxa" w:w="374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E2C27"/>
                <w:sz w:val="19"/>
              </w:rPr>
              <w:t>Fase futura, após validação e receita — adiado conscientemente.</w:t>
            </w:r>
          </w:p>
        </w:tc>
      </w:tr>
    </w:tbl>
    <w:p>
      <w:pPr>
        <w:spacing w:after="40" w:line="264" w:lineRule="auto"/>
      </w:pPr>
      <w:r>
        <w:rPr>
          <w:rFonts w:ascii="Calibri" w:hAnsi="Calibri"/>
          <w:b w:val="0"/>
          <w:i w:val="0"/>
          <w:color w:val="1E2C27"/>
          <w:sz w:val="22"/>
        </w:rPr>
      </w:r>
    </w:p>
    <w:p>
      <w:pPr>
        <w:spacing w:after="0" w:line="264" w:lineRule="auto"/>
      </w:pPr>
      <w:r>
        <w:rPr>
          <w:rFonts w:ascii="Calibri" w:hAnsi="Calibri"/>
          <w:b w:val="0"/>
          <w:i w:val="0"/>
          <w:color w:val="61716A"/>
          <w:sz w:val="17"/>
        </w:rPr>
        <w:t>Documento interno de planejamento. Premissas de custos, termos de fornecedores e requisitos legais devem ser revalidados na data de execução.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1716A"/>
        <w:sz w:val="17"/>
      </w:rPr>
      <w:t>Planejamento futuro  •  23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1716A"/>
        <w:sz w:val="17"/>
      </w:rPr>
      <w:t>PLATAFORMA NUTRICIONAL  •  PLANO DE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E2C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73F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6B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F3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