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FINAQ</w:t>
      </w:r>
    </w:p>
    <w:p>
      <w:pPr>
        <w:spacing w:after="160"/>
      </w:pPr>
      <w:r>
        <w:rPr>
          <w:i/>
          <w:iCs/>
          <w:color w:val="5F5E5A"/>
          <w:sz w:val="20"/>
          <w:szCs w:val="20"/>
        </w:rPr>
        <w:t xml:space="preserve">Personal Equity Research Advisor — Multi-agent investment research desk for one user</w:t>
      </w:r>
    </w:p>
    <w:p>
      <w:pPr>
        <w:pStyle w:val="Heading1"/>
        <w:spacing w:after="80" w:before="160"/>
      </w:pPr>
      <w:r>
        <w:t xml:space="preserve">The idea</w:t>
      </w:r>
    </w:p>
    <w:p>
      <w:pPr>
        <w:spacing w:after="80" w:line="280"/>
      </w:pPr>
      <w:r>
        <w:t xml:space="preserve">Most people want to invest for the long term but don’t have the time, or the patience, to read 200-page 10-Ks, follow earnings calls, and parse the daily news cycle for what actually matters. FINAQ is the analyst they never hired. You tell it what you’re interested in (the AI buildout, the energy transition, whatever the thesis), and it figures out which companies actually matter, watches them around the clock, ignores the noise, and pings you on Telegram only when something material hits. Tap the alert and in under 5 minutes a team of specialized agents delivers an institutional-grade report with bull case, bear case, quantified risks, and a Monte Carlo fair-value distribution. The more you use it, the sharper it gets at filtering for what you actually care about.</w:t>
      </w:r>
    </w:p>
    <w:p>
      <w:pPr>
        <w:pStyle w:val="Heading1"/>
        <w:spacing w:after="80" w:before="160"/>
      </w:pPr>
      <w:r>
        <w:t xml:space="preserve">Use case</w:t>
      </w:r>
    </w:p>
    <w:p>
      <w:pPr>
        <w:spacing w:after="80" w:line="280"/>
      </w:pPr>
      <w:r>
        <w:t xml:space="preserve">Saturday, 9 AM. While you were making coffee, the Triage agent (Haiku) had been polling overnight. It scanned roughly 1,200 news items and 4 SEC filings touching your watchlist and dismissed 1,195 as noise. Five made it through. You open the dashboard and tap NVDA. The drill-in fires: Fundamentals, Filings, News, and Risk run in parallel. About two minutes later, Synthesis (Opus) returns an updated thesis with a Monte Carlo distribution that has shifted left from last month. You add a note in Notion (“Trim 20% if Q3 guide misses $42B”), and that note becomes part of the thesis memory. Next time NVDA reports, Triage knows to flag any guide under $42B as material rather than noise. The system filters; you decide.</w:t>
      </w:r>
    </w:p>
    <w:p>
      <w:pPr>
        <w:pStyle w:val="Heading1"/>
        <w:spacing w:after="80" w:before="160"/>
      </w:pPr>
      <w:r>
        <w:t xml:space="preserve">Three theses</w:t>
      </w:r>
    </w:p>
    <w:p>
      <w:pPr>
        <w:spacing w:after="80" w:line="280"/>
      </w:pPr>
      <w:r>
        <w:t xml:space="preserve">The MVP is built around three investment theses that share names. AI cake is the layered picks-and-shovels frame across silicon (NVDA, AVGO, TSM), hyperscaler (MSFT, GOOGL, ORCL), networking (ANET), power and cooling (VRT, CEG, PWR), and AI-native applications. Halo · NVDA tracks anchor-orbit names whose fortunes are tied to NVDA capex guidance: SMCI, DELL, VRT, CEG, ANET, CRDO, MRVL. Construction covers the data-center buildout, IRA-fueled infrastructure, and reshoring story: CAT, MLM, EME, GVA, FIX, PWR. The structural property the system exploits is that VRT, CEG, ANET, and PWR appear in two or more theses. The Pattern Detection module uses this multiplicity as a built-in priority score: a signal that hits multiple theses is by construction more material than one that hits one.</w:t>
      </w:r>
    </w:p>
    <w:p>
      <w:pPr>
        <w:pStyle w:val="Heading1"/>
        <w:spacing w:after="80" w:before="160"/>
      </w:pPr>
      <w:r>
        <w:t xml:space="preserve">Architecture</w:t>
      </w:r>
    </w:p>
    <w:p>
      <w:pPr>
        <w:spacing w:after="80" w:line="280"/>
      </w:pPr>
      <w:r>
        <w:t xml:space="preserve">FINAQ orchestrates a small team of specialized AI agents over public financial data, with three layers: data connectors that ingest filings and prices, an LLM-agent layer that reasons and synthesizes, and tools that the agents invoke or write to. The personal-tool variant runs on a $6/mo DigitalOcean droplet so the autonomous monitoring loop never sleeps.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rPr>
          <w:tblHeader/>
        </w:trPr>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sz w:val="20"/>
                <w:szCs w:val="20"/>
              </w:rPr>
              <w:t xml:space="preserve">Layer</w:t>
            </w:r>
          </w:p>
        </w:tc>
        <w:tc>
          <w:tcPr>
            <w:tcW w:type="dxa" w:w="27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sz w:val="20"/>
                <w:szCs w:val="20"/>
              </w:rPr>
              <w:t xml:space="preserve">Component</w:t>
            </w:r>
          </w:p>
        </w:tc>
        <w:tc>
          <w:tcPr>
            <w:tcW w:type="dxa" w:w="5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sz w:val="20"/>
                <w:szCs w:val="20"/>
              </w:rPr>
              <w:t xml:space="preserve">Role</w:t>
            </w:r>
          </w:p>
        </w:tc>
      </w:tr>
      <w:tr>
        <w:tc>
          <w:tcPr>
            <w:tcW w:type="dxa" w:w="15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color w:val="633806"/>
                <w:sz w:val="20"/>
                <w:szCs w:val="20"/>
              </w:rPr>
              <w:t xml:space="preserve">Data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SEC EDGAR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10-K and 10-Q filings</w:t>
            </w:r>
          </w:p>
        </w:tc>
      </w:tr>
      <w:tr>
        <w:tc>
          <w:tcPr>
            <w:tcW w:type="dxa" w:w="15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color w:val="633806"/>
                <w:sz w:val="20"/>
                <w:szCs w:val="20"/>
              </w:rPr>
              <w:t xml:space="preserve">Data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yfinance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Prices and financial statements</w:t>
            </w:r>
          </w:p>
        </w:tc>
      </w:tr>
      <w:tr>
        <w:tc>
          <w:tcPr>
            <w:tcW w:type="dxa" w:w="15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color w:val="633806"/>
                <w:sz w:val="20"/>
                <w:szCs w:val="20"/>
              </w:rPr>
              <w:t xml:space="preserve">Data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Notion</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Watchlist and thesis memory</w:t>
            </w:r>
          </w:p>
        </w:tc>
      </w:tr>
      <w:tr>
        <w:tc>
          <w:tcPr>
            <w:tcW w:type="dxa" w:w="15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color w:val="0C447C"/>
                <w:sz w:val="20"/>
                <w:szCs w:val="20"/>
              </w:rPr>
              <w:t xml:space="preserve">LLM</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OpenRouter + LangGraph</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Multi-agent orchestration (Haiku, Sonnet, Opus)</w:t>
            </w:r>
          </w:p>
        </w:tc>
      </w:tr>
      <w:tr>
        <w:tc>
          <w:tcPr>
            <w:tcW w:type="dxa" w:w="1500"/>
            <w:tcBorders>
              <w:top w:val="single" w:color="CCCCCC" w:sz="4"/>
              <w:left w:val="single" w:color="CCCCCC" w:sz="4"/>
              <w:bottom w:val="single" w:color="CCCCCC" w:sz="4"/>
              <w:right w:val="single" w:color="CCCCCC" w:sz="4"/>
            </w:tcBorders>
            <w:shd w:fill="FBEAF0" w:val="clear"/>
            <w:tcMar>
              <w:top w:type="dxa" w:w="80"/>
              <w:left w:type="dxa" w:w="120"/>
              <w:bottom w:type="dxa" w:w="80"/>
              <w:right w:type="dxa" w:w="120"/>
            </w:tcMar>
          </w:tcPr>
          <w:p>
            <w:r>
              <w:rPr>
                <w:b/>
                <w:bCs/>
                <w:color w:val="72243E"/>
                <w:sz w:val="20"/>
                <w:szCs w:val="20"/>
              </w:rPr>
              <w:t xml:space="preserve">Tool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ChromaDB RAG</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Filings search and retrieval</w:t>
            </w:r>
          </w:p>
        </w:tc>
      </w:tr>
      <w:tr>
        <w:tc>
          <w:tcPr>
            <w:tcW w:type="dxa" w:w="1500"/>
            <w:tcBorders>
              <w:top w:val="single" w:color="CCCCCC" w:sz="4"/>
              <w:left w:val="single" w:color="CCCCCC" w:sz="4"/>
              <w:bottom w:val="single" w:color="CCCCCC" w:sz="4"/>
              <w:right w:val="single" w:color="CCCCCC" w:sz="4"/>
            </w:tcBorders>
            <w:shd w:fill="FBEAF0" w:val="clear"/>
            <w:tcMar>
              <w:top w:type="dxa" w:w="80"/>
              <w:left w:type="dxa" w:w="120"/>
              <w:bottom w:type="dxa" w:w="80"/>
              <w:right w:type="dxa" w:w="120"/>
            </w:tcMar>
          </w:tcPr>
          <w:p>
            <w:r>
              <w:rPr>
                <w:b/>
                <w:bCs/>
                <w:color w:val="72243E"/>
                <w:sz w:val="20"/>
                <w:szCs w:val="20"/>
              </w:rPr>
              <w:t xml:space="preserve">Tool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Web search</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90-day news and catalysts</w:t>
            </w:r>
          </w:p>
        </w:tc>
      </w:tr>
      <w:tr>
        <w:tc>
          <w:tcPr>
            <w:tcW w:type="dxa" w:w="1500"/>
            <w:tcBorders>
              <w:top w:val="single" w:color="CCCCCC" w:sz="4"/>
              <w:left w:val="single" w:color="CCCCCC" w:sz="4"/>
              <w:bottom w:val="single" w:color="CCCCCC" w:sz="4"/>
              <w:right w:val="single" w:color="CCCCCC" w:sz="4"/>
            </w:tcBorders>
            <w:shd w:fill="FBEAF0" w:val="clear"/>
            <w:tcMar>
              <w:top w:type="dxa" w:w="80"/>
              <w:left w:type="dxa" w:w="120"/>
              <w:bottom w:type="dxa" w:w="80"/>
              <w:right w:type="dxa" w:w="120"/>
            </w:tcMar>
          </w:tcPr>
          <w:p>
            <w:r>
              <w:rPr>
                <w:b/>
                <w:bCs/>
                <w:color w:val="72243E"/>
                <w:sz w:val="20"/>
                <w:szCs w:val="20"/>
              </w:rPr>
              <w:t xml:space="preserve">Tool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Monte Carlo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10,000-run fair-value simulation</w:t>
            </w:r>
          </w:p>
        </w:tc>
      </w:tr>
      <w:tr>
        <w:tc>
          <w:tcPr>
            <w:tcW w:type="dxa" w:w="1500"/>
            <w:tcBorders>
              <w:top w:val="single" w:color="CCCCCC" w:sz="4"/>
              <w:left w:val="single" w:color="CCCCCC" w:sz="4"/>
              <w:bottom w:val="single" w:color="CCCCCC" w:sz="4"/>
              <w:right w:val="single" w:color="CCCCCC" w:sz="4"/>
            </w:tcBorders>
            <w:shd w:fill="FBEAF0" w:val="clear"/>
            <w:tcMar>
              <w:top w:type="dxa" w:w="80"/>
              <w:left w:type="dxa" w:w="120"/>
              <w:bottom w:type="dxa" w:w="80"/>
              <w:right w:type="dxa" w:w="120"/>
            </w:tcMar>
          </w:tcPr>
          <w:p>
            <w:r>
              <w:rPr>
                <w:b/>
                <w:bCs/>
                <w:color w:val="72243E"/>
                <w:sz w:val="20"/>
                <w:szCs w:val="20"/>
              </w:rPr>
              <w:t xml:space="preserve">Tool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Telegram</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Material-signal push alerts</w:t>
            </w:r>
          </w:p>
        </w:tc>
      </w:tr>
      <w:tr>
        <w:tc>
          <w:tcPr>
            <w:tcW w:type="dxa" w:w="1500"/>
            <w:tcBorders>
              <w:top w:val="single" w:color="CCCCCC" w:sz="4"/>
              <w:left w:val="single" w:color="CCCCCC" w:sz="4"/>
              <w:bottom w:val="single" w:color="CCCCCC" w:sz="4"/>
              <w:right w:val="single" w:color="CCCCCC" w:sz="4"/>
            </w:tcBorders>
            <w:shd w:fill="FBEAF0" w:val="clear"/>
            <w:tcMar>
              <w:top w:type="dxa" w:w="80"/>
              <w:left w:type="dxa" w:w="120"/>
              <w:bottom w:type="dxa" w:w="80"/>
              <w:right w:type="dxa" w:w="120"/>
            </w:tcMar>
          </w:tcPr>
          <w:p>
            <w:r>
              <w:rPr>
                <w:b/>
                <w:bCs/>
                <w:color w:val="72243E"/>
                <w:sz w:val="20"/>
                <w:szCs w:val="20"/>
              </w:rPr>
              <w:t xml:space="preserve">Tool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Streamlit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Dashboard and PDF export</w:t>
            </w:r>
          </w:p>
        </w:tc>
      </w:tr>
    </w:tbl>
    <w:p>
      <w:pPr>
        <w:pStyle w:val="Heading1"/>
        <w:spacing w:after="80" w:before="160"/>
      </w:pPr>
      <w:r>
        <w:t xml:space="preserve">Tech stack</w:t>
      </w:r>
    </w:p>
    <w:p>
      <w:pPr>
        <w:spacing w:after="80" w:line="280"/>
      </w:pPr>
      <w:r>
        <w:t xml:space="preserve">Python 3.11+ as the primary language. LangGraph for multi-agent orchestration. OpenRouter for unified access to Anthropic models (Haiku for Triage, Sonnet for the four worker agents, Opus for Synthesis and Discovery). ChromaDB for filings RAG with persistent on-disk collections. yfinance for prices and financials, sec-edgar-downloader for filings. NumPy for the Monte Carlo engine. Streamlit for the dashboard and PDF export via reportlab. Notion API for memory and watchlist. Telegram Bot API for alerts. DigitalOcean droplet (Ubuntu 22.04, systemd timers for Triage, Caddy for HTTPS) as the runtime; local laptop for hackathon.</w:t>
      </w:r>
    </w:p>
    <w:p>
      <w:pPr>
        <w:pStyle w:val="Heading1"/>
        <w:spacing w:after="80" w:before="160"/>
      </w:pPr>
      <w:r>
        <w:t xml:space="preserve">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rPr>
          <w:tblHeader/>
        </w:trPr>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sz w:val="20"/>
                <w:szCs w:val="20"/>
              </w:rPr>
              <w:t xml:space="preserve">Phase</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sz w:val="20"/>
                <w:szCs w:val="20"/>
              </w:rPr>
              <w:t xml:space="preserve">Duration</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sz w:val="20"/>
                <w:szCs w:val="20"/>
              </w:rPr>
              <w:t xml:space="preserve">Scope</w:t>
            </w:r>
          </w:p>
        </w:tc>
        <w:tc>
          <w:tcPr>
            <w:tcW w:type="dxa" w:w="4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sz w:val="20"/>
                <w:szCs w:val="20"/>
              </w:rPr>
              <w:t xml:space="preserve">Key deliverables</w:t>
            </w:r>
          </w:p>
        </w:tc>
      </w:tr>
      <w:tr>
        <w:tc>
          <w:tcPr>
            <w:tcW w:type="dxa" w:w="180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r>
              <w:rPr>
                <w:b/>
                <w:bCs/>
                <w:color w:val="712B13"/>
                <w:sz w:val="20"/>
                <w:szCs w:val="20"/>
              </w:rPr>
              <w:t xml:space="preserve">0 — Hackathon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48 hours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In scope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Drill-in (4 workers + Synthesis), Monte Carlo, ChromaDB RAG, Streamlit, pre-built theses, manual scan</w:t>
            </w:r>
          </w:p>
        </w:tc>
      </w:tr>
      <w:tr>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color w:val="444441"/>
                <w:sz w:val="20"/>
                <w:szCs w:val="20"/>
              </w:rPr>
              <w:t xml:space="preserve">1 — Personal MVP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Weeks 1–2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Future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Telegram bot, droplet deploy, Notion memory, cron-based Triage</w:t>
            </w:r>
          </w:p>
        </w:tc>
      </w:tr>
      <w:tr>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color w:val="444441"/>
                <w:sz w:val="20"/>
                <w:szCs w:val="20"/>
              </w:rPr>
              <w:t xml:space="preserve">2 — Discovery</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Weeks 3–4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Future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Discovery agent, halo graph builder, bidirectional Notion sync</w:t>
            </w:r>
          </w:p>
        </w:tc>
      </w:tr>
      <w:tr>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color w:val="444441"/>
                <w:sz w:val="20"/>
                <w:szCs w:val="20"/>
              </w:rPr>
              <w:t xml:space="preserve">3 — Cross-thesis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Months 2–3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Future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Pattern detection, threshold learning, backtesting</w:t>
            </w:r>
          </w:p>
        </w:tc>
      </w:tr>
    </w:tbl>
    <w:p>
      <w:pPr>
        <w:pStyle w:val="Heading1"/>
        <w:spacing w:after="80" w:before="160"/>
      </w:pPr>
      <w:r>
        <w:t xml:space="preserve">Color palette</w:t>
      </w:r>
    </w:p>
    <w:p>
      <w:pPr>
        <w:spacing w:after="80" w:line="280"/>
      </w:pPr>
      <w:r>
        <w:t xml:space="preserve">Used consistently across diagrams, the Streamlit dashboard, and the PDF report. Surface for fills, stroke for borders and accents, dark text for titles on light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80"/>
        <w:gridCol w:w="2280"/>
      </w:tblGrid>
      <w:tr>
        <w:trPr>
          <w:tblHeader/>
        </w:trPr>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sz w:val="20"/>
                <w:szCs w:val="20"/>
              </w:rPr>
              <w:t xml:space="preserve">Use</w:t>
            </w:r>
          </w:p>
        </w:tc>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sz w:val="20"/>
                <w:szCs w:val="20"/>
              </w:rPr>
              <w:t xml:space="preserve">Surface</w:t>
            </w:r>
          </w:p>
        </w:tc>
        <w:tc>
          <w:tcPr>
            <w:tcW w:type="dxa" w:w="22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sz w:val="20"/>
                <w:szCs w:val="20"/>
              </w:rPr>
              <w:t xml:space="preserve">Stroke / primary</w:t>
            </w:r>
          </w:p>
        </w:tc>
        <w:tc>
          <w:tcPr>
            <w:tcW w:type="dxa" w:w="22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sz w:val="20"/>
                <w:szCs w:val="20"/>
              </w:rPr>
              <w:t xml:space="preserve">Dark text</w:t>
            </w:r>
          </w:p>
        </w:tc>
      </w:tr>
      <w:tr>
        <w:tc>
          <w:tcPr>
            <w:tcW w:type="dxa" w:w="30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color w:val="633806"/>
                <w:sz w:val="20"/>
                <w:szCs w:val="20"/>
              </w:rPr>
              <w:t xml:space="preserve">Data connectors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#FAEEDA</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#854F0B</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#633806</w:t>
            </w:r>
          </w:p>
        </w:tc>
      </w:tr>
      <w:tr>
        <w:tc>
          <w:tcPr>
            <w:tcW w:type="dxa" w:w="30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color w:val="0C447C"/>
                <w:sz w:val="20"/>
                <w:szCs w:val="20"/>
              </w:rPr>
              <w:t xml:space="preserve">LLM agents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#E6F1FB</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#185FA5</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#0C447C</w:t>
            </w:r>
          </w:p>
        </w:tc>
      </w:tr>
      <w:tr>
        <w:tc>
          <w:tcPr>
            <w:tcW w:type="dxa" w:w="3000"/>
            <w:tcBorders>
              <w:top w:val="single" w:color="CCCCCC" w:sz="4"/>
              <w:left w:val="single" w:color="CCCCCC" w:sz="4"/>
              <w:bottom w:val="single" w:color="CCCCCC" w:sz="4"/>
              <w:right w:val="single" w:color="CCCCCC" w:sz="4"/>
            </w:tcBorders>
            <w:shd w:fill="FBEAF0" w:val="clear"/>
            <w:tcMar>
              <w:top w:type="dxa" w:w="80"/>
              <w:left w:type="dxa" w:w="120"/>
              <w:bottom w:type="dxa" w:w="80"/>
              <w:right w:type="dxa" w:w="120"/>
            </w:tcMar>
          </w:tcPr>
          <w:p>
            <w:r>
              <w:rPr>
                <w:b/>
                <w:bCs/>
                <w:color w:val="72243E"/>
                <w:sz w:val="20"/>
                <w:szCs w:val="20"/>
              </w:rPr>
              <w:t xml:space="preserve">Tools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#FBEAF0</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#993556</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#72243E</w:t>
            </w:r>
          </w:p>
        </w:tc>
      </w:tr>
      <w:tr>
        <w:tc>
          <w:tcPr>
            <w:tcW w:type="dxa" w:w="3000"/>
            <w:tcBorders>
              <w:top w:val="single" w:color="CCCCCC" w:sz="4"/>
              <w:left w:val="single" w:color="CCCCCC" w:sz="4"/>
              <w:bottom w:val="single" w:color="CCCCCC" w:sz="4"/>
              <w:right w:val="single" w:color="CCCCCC" w:sz="4"/>
            </w:tcBorders>
            <w:shd w:fill="EEEDFE" w:val="clear"/>
            <w:tcMar>
              <w:top w:type="dxa" w:w="80"/>
              <w:left w:type="dxa" w:w="120"/>
              <w:bottom w:type="dxa" w:w="80"/>
              <w:right w:type="dxa" w:w="120"/>
            </w:tcMar>
          </w:tcPr>
          <w:p>
            <w:r>
              <w:rPr>
                <w:b/>
                <w:bCs/>
                <w:color w:val="3C3489"/>
                <w:sz w:val="20"/>
                <w:szCs w:val="20"/>
              </w:rPr>
              <w:t xml:space="preserve">AI cake thesis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#EEEDFE</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#534AB7</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#3C3489</w:t>
            </w:r>
          </w:p>
        </w:tc>
      </w:tr>
      <w:tr>
        <w:tc>
          <w:tcPr>
            <w:tcW w:type="dxa" w:w="30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r>
              <w:rPr>
                <w:b/>
                <w:bCs/>
                <w:color w:val="085041"/>
                <w:sz w:val="20"/>
                <w:szCs w:val="20"/>
              </w:rPr>
              <w:t xml:space="preserve">Halo · NVDA thesis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#E1F5EE</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#0F6E56</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#085041</w:t>
            </w:r>
          </w:p>
        </w:tc>
      </w:tr>
      <w:tr>
        <w:tc>
          <w:tcPr>
            <w:tcW w:type="dxa" w:w="300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r>
              <w:rPr>
                <w:b/>
                <w:bCs/>
                <w:color w:val="712B13"/>
                <w:sz w:val="20"/>
                <w:szCs w:val="20"/>
              </w:rPr>
              <w:t xml:space="preserve">Construction / hackathon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#FAECE7</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#993C1D</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#712B13</w:t>
            </w:r>
          </w:p>
        </w:tc>
      </w:tr>
      <w:tr>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color w:val="444441"/>
                <w:sz w:val="20"/>
                <w:szCs w:val="20"/>
              </w:rPr>
              <w:t xml:space="preserve">Future / muted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#F1EFE8</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#5F5E5A</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#444441</w:t>
            </w:r>
          </w:p>
        </w:tc>
      </w:tr>
    </w:tbl>
    <w:p>
      <w:pPr>
        <w:spacing w:before="240"/>
      </w:pPr>
      <w:r>
        <w:rPr>
          <w:i/>
          <w:iCs/>
          <w:color w:val="5F5E5A"/>
          <w:sz w:val="20"/>
          <w:szCs w:val="20"/>
        </w:rPr>
        <w:t xml:space="preserve">Juan Jose Tovar Montana · Vancouver, BC · AI Solutions Architect &amp; Product Lead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Arial" w:cs="Arial" w:eastAsia="Arial" w:hAnsi="Arial"/>
      <w:b/>
      <w:bCs/>
      <w:color w:val="1A1A1A"/>
      <w:sz w:val="26"/>
      <w:szCs w:val="26"/>
    </w:rPr>
  </w:style>
  <w:style w:type="paragraph" w:styleId="Heading2">
    <w:name w:val="Heading 2"/>
    <w:basedOn w:val="Normal"/>
    <w:next w:val="Normal"/>
    <w:qFormat/>
    <w:pPr>
      <w:spacing w:after="80" w:before="140"/>
      <w:outlineLvl w:val="1"/>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FINAQ — Project Context</dc:title>
  <dc:creator>Juan Jose Tovar Montana</dc:creator>
  <cp:lastModifiedBy>Un-named</cp:lastModifiedBy>
  <cp:revision>1</cp:revision>
  <dcterms:created xsi:type="dcterms:W3CDTF">2026-04-27T03:00:07.422Z</dcterms:created>
  <dcterms:modified xsi:type="dcterms:W3CDTF">2026-04-27T03:00:07.422Z</dcterms:modified>
</cp:coreProperties>
</file>

<file path=docProps/custom.xml><?xml version="1.0" encoding="utf-8"?>
<Properties xmlns="http://schemas.openxmlformats.org/officeDocument/2006/custom-properties" xmlns:vt="http://schemas.openxmlformats.org/officeDocument/2006/docPropsVTypes"/>
</file>