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Calibri" w:hAnsi="Calibri" w:eastAsia="Calibri"/>
          <w:b/>
          <w:i w:val="0"/>
          <w:color w:val="1F3A5F"/>
          <w:sz w:val="40"/>
        </w:rPr>
        <w:t>PlayNow</w:t>
      </w:r>
    </w:p>
    <w:p>
      <w:pPr>
        <w:spacing w:before="0" w:after="200" w:line="276" w:lineRule="auto"/>
      </w:pPr>
      <w:r>
        <w:rPr>
          <w:rFonts w:ascii="Calibri" w:hAnsi="Calibri" w:eastAsia="Calibri"/>
          <w:b w:val="0"/>
          <w:i/>
          <w:color w:val="3D4C5C"/>
          <w:sz w:val="24"/>
        </w:rPr>
        <w:t>Parte 3. Análisis y mitigación de sesgos</w:t>
      </w:r>
    </w:p>
    <w:p>
      <w:pPr>
        <w:spacing w:before="0" w:after="160" w:line="276" w:lineRule="auto"/>
        <w:jc w:val="both"/>
      </w:pPr>
      <w:r>
        <w:rPr>
          <w:rFonts w:ascii="Calibri" w:hAnsi="Calibri" w:eastAsia="Calibri"/>
          <w:b w:val="0"/>
          <w:i w:val="0"/>
          <w:sz w:val="24"/>
        </w:rPr>
        <w:t>Curso: Introducción al diseño de sistemas recomendadores. Esta parte cubre las actividades 3.1 y 3.2. PlayNow recomienda qué juego ya comprado abrir ahora. La clasificación sigue a Friedman y Nissenbaum (preexistente, técnico, emergente), en la lectura que el curso hace para recomendación musical.</w:t>
      </w:r>
    </w:p>
    <w:p>
      <w:pPr>
        <w:spacing w:before="0" w:after="160" w:line="276" w:lineRule="auto"/>
        <w:jc w:val="both"/>
      </w:pPr>
      <w:r>
        <w:rPr>
          <w:rFonts w:ascii="Calibri" w:hAnsi="Calibri" w:eastAsia="Calibri"/>
          <w:b w:val="0"/>
          <w:i w:val="0"/>
          <w:sz w:val="24"/>
        </w:rPr>
        <w:t xml:space="preserve">Este documento separa el </w:t>
      </w:r>
      <w:r>
        <w:rPr>
          <w:rFonts w:ascii="Calibri" w:hAnsi="Calibri" w:eastAsia="Calibri"/>
          <w:b/>
          <w:i w:val="0"/>
          <w:sz w:val="24"/>
        </w:rPr>
        <w:t>diseño propuesto</w:t>
      </w:r>
      <w:r>
        <w:rPr>
          <w:rFonts w:ascii="Calibri" w:hAnsi="Calibri" w:eastAsia="Calibri"/>
          <w:b w:val="0"/>
          <w:i w:val="0"/>
          <w:sz w:val="24"/>
        </w:rPr>
        <w:t xml:space="preserve"> de lo que </w:t>
      </w:r>
      <w:r>
        <w:rPr>
          <w:rFonts w:ascii="Calibri" w:hAnsi="Calibri" w:eastAsia="Calibri"/>
          <w:b/>
          <w:i w:val="0"/>
          <w:sz w:val="24"/>
        </w:rPr>
        <w:t>el prototipo ejecuta</w:t>
      </w:r>
      <w:r>
        <w:rPr>
          <w:rFonts w:ascii="Calibri" w:hAnsi="Calibri" w:eastAsia="Calibri"/>
          <w:b w:val="0"/>
          <w:i w:val="0"/>
          <w:sz w:val="24"/>
        </w:rPr>
        <w:t>. Steam, PlayStation, Xbox, la agenda y el reloj no están conectados. El código corre sobre CSV reproducibles, con semilla 42. Los títulos son reales. Los atributos profundos son estimaciones de diseño, no mediciones de laboratorio. El corpus de foros es sintético.</w:t>
      </w:r>
    </w:p>
    <w:p>
      <w:pPr>
        <w:spacing w:before="0" w:after="160" w:line="276" w:lineRule="auto"/>
        <w:jc w:val="both"/>
      </w:pPr>
      <w:r>
        <w:rPr>
          <w:rFonts w:ascii="Calibri" w:hAnsi="Calibri" w:eastAsia="Calibri"/>
          <w:b w:val="0"/>
          <w:i w:val="0"/>
          <w:sz w:val="24"/>
        </w:rPr>
        <w:t>La invariante del producto es una sola: PlayNow no recomienda un juego que la persona no tiene. El catálogo caracteriza títulos. La biblioteca del perfil recorta los candidatos.</w:t>
      </w:r>
    </w:p>
    <w:p>
      <w:pPr>
        <w:spacing w:before="0" w:after="160" w:line="276" w:lineRule="auto"/>
        <w:jc w:val="both"/>
      </w:pPr>
      <w:r>
        <w:rPr>
          <w:rFonts w:ascii="Calibri" w:hAnsi="Calibri" w:eastAsia="Calibri"/>
          <w:b w:val="0"/>
          <w:i w:val="0"/>
          <w:sz w:val="24"/>
        </w:rPr>
        <w:t>La mitigación no tiene que estar toda implementada. Abajo se dice cuáles corren en el prototipo y cuáles quedan descritas en el diseño.</w:t>
      </w:r>
    </w:p>
    <w:p>
      <w:pPr>
        <w:pStyle w:val="Heading1"/>
        <w:spacing w:before="320" w:after="160" w:line="276" w:lineRule="auto"/>
      </w:pPr>
      <w:r>
        <w:t>3.1 Sesgos en este dominio</w:t>
      </w:r>
    </w:p>
    <w:p>
      <w:pPr>
        <w:pStyle w:val="Heading2"/>
        <w:spacing w:before="240" w:after="120" w:line="276" w:lineRule="auto"/>
      </w:pPr>
      <w:r>
        <w:t>Preexistentes</w:t>
      </w:r>
    </w:p>
    <w:p>
      <w:pPr>
        <w:spacing w:before="0" w:after="160" w:line="276" w:lineRule="auto"/>
        <w:jc w:val="both"/>
      </w:pPr>
      <w:r>
        <w:rPr>
          <w:rFonts w:ascii="Calibri" w:hAnsi="Calibri" w:eastAsia="Calibri"/>
          <w:b/>
          <w:i w:val="0"/>
          <w:sz w:val="24"/>
        </w:rPr>
        <w:t>Inercia de horas e invisibilidad indie.</w:t>
      </w:r>
      <w:r>
        <w:rPr>
          <w:rFonts w:ascii="Calibri" w:hAnsi="Calibri" w:eastAsia="Calibri"/>
          <w:b w:val="0"/>
          <w:i w:val="0"/>
          <w:sz w:val="24"/>
        </w:rPr>
        <w:t xml:space="preserve"> El historial de la plataforma premia al juego de cientos de horas. El indie comprado en una oferta, con 0 horas, no existe para un ranking por popularidad personal. En Andrés, Hades ocuparía siempre el primer puesto si solo contaran las horas. Unpacking no aparecería.</w:t>
      </w:r>
    </w:p>
    <w:p>
      <w:pPr>
        <w:spacing w:before="0" w:after="160" w:line="276" w:lineRule="auto"/>
        <w:jc w:val="both"/>
      </w:pPr>
      <w:r>
        <w:rPr>
          <w:rFonts w:ascii="Calibri" w:hAnsi="Calibri" w:eastAsia="Calibri"/>
          <w:b/>
          <w:i w:val="0"/>
          <w:sz w:val="24"/>
        </w:rPr>
        <w:t>Minoría vocal en los foros. Quien escribe reseñas largas suele tener tiempo de sobra. Llama «cortito» a un juego que, para una jornada de alta carga y 40 minutos, no cabe. Si el texto se agrega sin mirar quién habla, el descriptor de «relajante» hereda ese punto de vista. En el prototipo las frases las escribe el generador desde la ficha, así que ese sesgo queda descrito para el diseño y no entra como opinión real.</w:t>
      </w:r>
      <w:r>
        <w:rPr>
          <w:rFonts w:ascii="Calibri" w:hAnsi="Calibri" w:eastAsia="Calibri"/>
          <w:b w:val="0"/>
          <w:i w:val="0"/>
          <w:sz w:val="24"/>
        </w:rPr>
      </w:r>
    </w:p>
    <w:p>
      <w:pPr>
        <w:pStyle w:val="Heading2"/>
        <w:spacing w:before="240" w:after="120" w:line="276" w:lineRule="auto"/>
      </w:pPr>
      <w:r>
        <w:t>Técnicos</w:t>
      </w:r>
    </w:p>
    <w:p>
      <w:pPr>
        <w:spacing w:before="0" w:after="160" w:line="276" w:lineRule="auto"/>
        <w:jc w:val="both"/>
      </w:pPr>
      <w:r>
        <w:rPr>
          <w:rFonts w:ascii="Calibri" w:hAnsi="Calibri" w:eastAsia="Calibri"/>
          <w:b/>
          <w:i w:val="0"/>
          <w:sz w:val="24"/>
        </w:rPr>
        <w:t>Hubness en K-Means.</w:t>
      </w:r>
      <w:r>
        <w:rPr>
          <w:rFonts w:ascii="Calibri" w:hAnsi="Calibri" w:eastAsia="Calibri"/>
          <w:b w:val="0"/>
          <w:i w:val="0"/>
          <w:sz w:val="24"/>
        </w:rPr>
        <w:t xml:space="preserve"> En un espacio de muchos atributos, los puntos cercanos al centroide se vuelven hubs: salen recomendados a casi todo el clúster. Los juegos con una propuesta rara quedan en la orilla y no entran al top. El curso lo discute con Flexer y colaboradores (2018) a propósito de la música. Aquí el análogo es claro: si el orden fuera «el más central de la familia suave», Stardew Valley o un título grande y fácil saldrían siempre, y un título chico de la misma biblioteca no.</w:t>
      </w:r>
    </w:p>
    <w:p>
      <w:pPr>
        <w:spacing w:before="0" w:after="160" w:line="276" w:lineRule="auto"/>
        <w:jc w:val="both"/>
      </w:pPr>
      <w:r>
        <w:rPr>
          <w:rFonts w:ascii="Calibri" w:hAnsi="Calibri" w:eastAsia="Calibri"/>
          <w:b/>
          <w:i w:val="0"/>
          <w:sz w:val="24"/>
        </w:rPr>
        <w:t>Lectura del wearable fuera de la persona.</w:t>
      </w:r>
      <w:r>
        <w:rPr>
          <w:rFonts w:ascii="Calibri" w:hAnsi="Calibri" w:eastAsia="Calibri"/>
          <w:b w:val="0"/>
          <w:i w:val="0"/>
          <w:sz w:val="24"/>
        </w:rPr>
        <w:t xml:space="preserve"> Activación alta puede ser ganas de jugar o agotamiento. Un corte fijo de pulso, igual para todo el mundo, confunde las dos cosas. El artículo de emoción por señales fisiológicas del curso insiste en la diferencia entre modelos dependientes del usuario e independientes. Un umbral poblacional es el sesgo técnico.</w:t>
      </w:r>
    </w:p>
    <w:p>
      <w:pPr>
        <w:pStyle w:val="Heading2"/>
        <w:spacing w:before="240" w:after="120" w:line="276" w:lineRule="auto"/>
      </w:pPr>
      <w:r>
        <w:t>Emergentes</w:t>
      </w:r>
    </w:p>
    <w:p>
      <w:pPr>
        <w:spacing w:before="0" w:after="160" w:line="276" w:lineRule="auto"/>
        <w:jc w:val="both"/>
      </w:pPr>
      <w:r>
        <w:rPr>
          <w:rFonts w:ascii="Calibri" w:hAnsi="Calibri" w:eastAsia="Calibri"/>
          <w:b/>
          <w:i w:val="0"/>
          <w:sz w:val="24"/>
        </w:rPr>
        <w:t>Burbuja de confort entre semana.</w:t>
      </w:r>
      <w:r>
        <w:rPr>
          <w:rFonts w:ascii="Calibri" w:hAnsi="Calibri" w:eastAsia="Calibri"/>
          <w:b w:val="0"/>
          <w:i w:val="0"/>
          <w:sz w:val="24"/>
        </w:rPr>
        <w:t xml:space="preserve"> Si casi todas las noches la fatiga es alta, el sistema puede devolver siempre los mismos dos juegos suaves. El resto de la biblioteca se congela.</w:t>
      </w:r>
    </w:p>
    <w:p>
      <w:pPr>
        <w:spacing w:before="0" w:after="160" w:line="276" w:lineRule="auto"/>
        <w:jc w:val="both"/>
      </w:pPr>
      <w:r>
        <w:rPr>
          <w:rFonts w:ascii="Calibri" w:hAnsi="Calibri" w:eastAsia="Calibri"/>
          <w:b/>
          <w:i w:val="0"/>
          <w:sz w:val="24"/>
        </w:rPr>
        <w:t>Espiral de reenganche.</w:t>
      </w:r>
      <w:r>
        <w:rPr>
          <w:rFonts w:ascii="Calibri" w:hAnsi="Calibri" w:eastAsia="Calibri"/>
          <w:b w:val="0"/>
          <w:i w:val="0"/>
          <w:sz w:val="24"/>
        </w:rPr>
        <w:t xml:space="preserve"> Penalizar un RPG porque lleva muchas semanas sin abrirse hace que nunca vuelva a sugerirse. Los días sin jugar crecen justo porque no se sugiere. El castigo se alimenta solo.</w:t>
      </w:r>
    </w:p>
    <w:p>
      <w:pPr>
        <w:pStyle w:val="Heading1"/>
        <w:spacing w:before="320" w:after="160" w:line="276" w:lineRule="auto"/>
      </w:pPr>
      <w:r>
        <w:t>3.2 Mitigación</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fill="1F3A5F" w:val="clear"/>
          </w:tcPr>
          <w:p>
            <w:r/>
            <w:r>
              <w:rPr>
                <w:rFonts w:ascii="Calibri" w:hAnsi="Calibri" w:eastAsia="Calibri"/>
                <w:b/>
                <w:i w:val="0"/>
                <w:color w:val="FFFFFF"/>
                <w:sz w:val="20"/>
              </w:rPr>
              <w:t>Sesgo</w:t>
            </w:r>
          </w:p>
        </w:tc>
        <w:tc>
          <w:tcPr>
            <w:tcW w:type="dxa" w:w="3173"/>
            <w:shd w:fill="1F3A5F" w:val="clear"/>
          </w:tcPr>
          <w:p>
            <w:r/>
            <w:r>
              <w:rPr>
                <w:rFonts w:ascii="Calibri" w:hAnsi="Calibri" w:eastAsia="Calibri"/>
                <w:b/>
                <w:i w:val="0"/>
                <w:color w:val="FFFFFF"/>
                <w:sz w:val="20"/>
              </w:rPr>
              <w:t>Qué se propone</w:t>
            </w:r>
          </w:p>
        </w:tc>
        <w:tc>
          <w:tcPr>
            <w:tcW w:type="dxa" w:w="3173"/>
            <w:shd w:fill="1F3A5F" w:val="clear"/>
          </w:tcPr>
          <w:p>
            <w:r/>
            <w:r>
              <w:rPr>
                <w:rFonts w:ascii="Calibri" w:hAnsi="Calibri" w:eastAsia="Calibri"/>
                <w:b/>
                <w:i w:val="0"/>
                <w:color w:val="FFFFFF"/>
                <w:sz w:val="20"/>
              </w:rPr>
              <w:t>Qué hace ya el prototipo</w:t>
            </w:r>
          </w:p>
        </w:tc>
      </w:tr>
      <w:tr>
        <w:tc>
          <w:tcPr>
            <w:tcW w:type="dxa" w:w="3173"/>
          </w:tcPr>
          <w:p>
            <w:r/>
            <w:r>
              <w:rPr>
                <w:rFonts w:ascii="Calibri" w:hAnsi="Calibri" w:eastAsia="Calibri"/>
                <w:b w:val="0"/>
                <w:i w:val="0"/>
                <w:sz w:val="20"/>
              </w:rPr>
              <w:t>Inercia de horas e indie invisible</w:t>
            </w:r>
          </w:p>
        </w:tc>
        <w:tc>
          <w:tcPr>
            <w:tcW w:type="dxa" w:w="3173"/>
          </w:tcPr>
          <w:p>
            <w:r/>
            <w:r>
              <w:rPr>
                <w:rFonts w:ascii="Calibri" w:hAnsi="Calibri" w:eastAsia="Calibri"/>
                <w:b w:val="0"/>
                <w:i w:val="0"/>
                <w:sz w:val="20"/>
              </w:rPr>
              <w:t>No rankear por horas. Reservar un lugar del top para un juego viable casi sin jugar, y mirar la exposición indie.</w:t>
            </w:r>
          </w:p>
        </w:tc>
        <w:tc>
          <w:tcPr>
            <w:tcW w:type="dxa" w:w="3173"/>
          </w:tcPr>
          <w:p>
            <w:r/>
            <w:r>
              <w:rPr>
                <w:rFonts w:ascii="Calibri" w:hAnsi="Calibri" w:eastAsia="Calibri"/>
                <w:b w:val="0"/>
                <w:i w:val="0"/>
                <w:sz w:val="20"/>
              </w:rPr>
              <w:t>La línea base por horas se muestra al lado, pero no es el ranking. Unpacking, con 0 horas, puede liderar el martes. Existe un ascenso al tercer puesto si el top no trae backlog y el candidato está cerca en score y en similitud.</w:t>
            </w:r>
          </w:p>
        </w:tc>
      </w:tr>
      <w:tr>
        <w:tc>
          <w:tcPr>
            <w:tcW w:type="dxa" w:w="3173"/>
            <w:shd w:fill="F4F7FB" w:val="clear"/>
          </w:tcPr>
          <w:p>
            <w:r/>
            <w:r>
              <w:rPr>
                <w:rFonts w:ascii="Calibri" w:hAnsi="Calibri" w:eastAsia="Calibri"/>
                <w:b w:val="0"/>
                <w:i w:val="0"/>
                <w:sz w:val="20"/>
              </w:rPr>
              <w:t>Minoría vocal</w:t>
            </w:r>
          </w:p>
        </w:tc>
        <w:tc>
          <w:tcPr>
            <w:tcW w:type="dxa" w:w="3173"/>
            <w:shd w:fill="F4F7FB" w:val="clear"/>
          </w:tcPr>
          <w:p>
            <w:r/>
            <w:r>
              <w:rPr>
                <w:rFonts w:ascii="Calibri" w:hAnsi="Calibri" w:eastAsia="Calibri"/>
                <w:b w:val="0"/>
                <w:i w:val="0"/>
                <w:sz w:val="20"/>
              </w:rPr>
              <w:t>Ponderar el texto según el perfil ocupacional de quien reseña, no solo según el juego.</w:t>
            </w:r>
          </w:p>
        </w:tc>
        <w:tc>
          <w:tcPr>
            <w:tcW w:type="dxa" w:w="3173"/>
            <w:shd w:fill="F4F7FB" w:val="clear"/>
          </w:tcPr>
          <w:p>
            <w:r/>
            <w:r>
              <w:rPr>
                <w:rFonts w:ascii="Calibri" w:hAnsi="Calibri" w:eastAsia="Calibri"/>
                <w:b w:val="0"/>
                <w:i w:val="0"/>
                <w:sz w:val="20"/>
              </w:rPr>
              <w:t>El léxico no distingue autores: el corpus no trae esa etiqueta. Queda como paso del diseño. El colaborativo sí separa por perfil ocupacional, que es otro canal.</w:t>
            </w:r>
          </w:p>
        </w:tc>
      </w:tr>
      <w:tr>
        <w:tc>
          <w:tcPr>
            <w:tcW w:type="dxa" w:w="3173"/>
          </w:tcPr>
          <w:p>
            <w:r/>
            <w:r>
              <w:rPr>
                <w:rFonts w:ascii="Calibri" w:hAnsi="Calibri" w:eastAsia="Calibri"/>
                <w:b w:val="0"/>
                <w:i w:val="0"/>
                <w:sz w:val="20"/>
              </w:rPr>
              <w:t>Hubness</w:t>
            </w:r>
          </w:p>
        </w:tc>
        <w:tc>
          <w:tcPr>
            <w:tcW w:type="dxa" w:w="3173"/>
          </w:tcPr>
          <w:p>
            <w:r/>
            <w:r>
              <w:rPr>
                <w:rFonts w:ascii="Calibri" w:hAnsi="Calibri" w:eastAsia="Calibri"/>
                <w:b w:val="0"/>
                <w:i w:val="0"/>
                <w:sz w:val="20"/>
              </w:rPr>
              <w:t>No ordenar por distancia al centroide. Usar el clúster como nombre de familia. Si más adelante hay re-ranking, penalizar hubs ya jugados esta semana.</w:t>
            </w:r>
          </w:p>
        </w:tc>
        <w:tc>
          <w:tcPr>
            <w:tcW w:type="dxa" w:w="3173"/>
          </w:tcPr>
          <w:p>
            <w:r/>
            <w:r>
              <w:rPr>
                <w:rFonts w:ascii="Calibri" w:hAnsi="Calibri" w:eastAsia="Calibri"/>
                <w:b w:val="0"/>
                <w:i w:val="0"/>
                <w:sz w:val="20"/>
              </w:rPr>
              <w:t>K-Means etiqueta. El score de sesión ordena. La exploración aleatoria no está codificada.</w:t>
            </w:r>
          </w:p>
        </w:tc>
      </w:tr>
      <w:tr>
        <w:tc>
          <w:tcPr>
            <w:tcW w:type="dxa" w:w="3173"/>
            <w:shd w:fill="F4F7FB" w:val="clear"/>
          </w:tcPr>
          <w:p>
            <w:r/>
            <w:r>
              <w:rPr>
                <w:rFonts w:ascii="Calibri" w:hAnsi="Calibri" w:eastAsia="Calibri"/>
                <w:b w:val="0"/>
                <w:i w:val="0"/>
                <w:sz w:val="20"/>
              </w:rPr>
              <w:t>Wearable poblacional</w:t>
            </w:r>
          </w:p>
        </w:tc>
        <w:tc>
          <w:tcPr>
            <w:tcW w:type="dxa" w:w="3173"/>
            <w:shd w:fill="F4F7FB" w:val="clear"/>
          </w:tcPr>
          <w:p>
            <w:r/>
            <w:r>
              <w:rPr>
                <w:rFonts w:ascii="Calibri" w:hAnsi="Calibri" w:eastAsia="Calibri"/>
                <w:b w:val="0"/>
                <w:i w:val="0"/>
                <w:sz w:val="20"/>
              </w:rPr>
              <w:t>Exceso o z-score contra la ventana reciente de la misma persona.</w:t>
            </w:r>
          </w:p>
        </w:tc>
        <w:tc>
          <w:tcPr>
            <w:tcW w:type="dxa" w:w="3173"/>
            <w:shd w:fill="F4F7FB" w:val="clear"/>
          </w:tcPr>
          <w:p>
            <w:r/>
            <w:r>
              <w:rPr>
                <w:rFonts w:ascii="Calibri" w:hAnsi="Calibri" w:eastAsia="Calibri"/>
                <w:b w:val="0"/>
                <w:i w:val="0"/>
                <w:sz w:val="20"/>
              </w:rPr>
              <w:t>La fatiga usa la frecuencia cardíaca habitual de ese perfil, no un corte único. No hay todavía una ventana móvil de 14 días porque el historial fisiológico es corto.</w:t>
            </w:r>
          </w:p>
        </w:tc>
      </w:tr>
      <w:tr>
        <w:tc>
          <w:tcPr>
            <w:tcW w:type="dxa" w:w="3173"/>
          </w:tcPr>
          <w:p>
            <w:r/>
            <w:r>
              <w:rPr>
                <w:rFonts w:ascii="Calibri" w:hAnsi="Calibri" w:eastAsia="Calibri"/>
                <w:b w:val="0"/>
                <w:i w:val="0"/>
                <w:sz w:val="20"/>
              </w:rPr>
              <w:t>Burbuja de confort</w:t>
            </w:r>
          </w:p>
        </w:tc>
        <w:tc>
          <w:tcPr>
            <w:tcW w:type="dxa" w:w="3173"/>
          </w:tcPr>
          <w:p>
            <w:r/>
            <w:r>
              <w:rPr>
                <w:rFonts w:ascii="Calibri" w:hAnsi="Calibri" w:eastAsia="Calibri"/>
                <w:b w:val="0"/>
                <w:i w:val="0"/>
                <w:sz w:val="20"/>
              </w:rPr>
              <w:t>La diversidad intra-lista y el lugar de backlog evitan que el top sea tres copias del mismo juego suave.</w:t>
            </w:r>
          </w:p>
        </w:tc>
        <w:tc>
          <w:tcPr>
            <w:tcW w:type="dxa" w:w="3173"/>
          </w:tcPr>
          <w:p>
            <w:r/>
            <w:r>
              <w:rPr>
                <w:rFonts w:ascii="Calibri" w:hAnsi="Calibri" w:eastAsia="Calibri"/>
                <w:b w:val="0"/>
                <w:i w:val="0"/>
                <w:sz w:val="20"/>
              </w:rPr>
              <w:t>Se calcula la diversidad y, en el martes de referencia, el top mezcla un juego sin horas con dos de baja carga que no son el mismo título.</w:t>
            </w:r>
          </w:p>
        </w:tc>
      </w:tr>
      <w:tr>
        <w:tc>
          <w:tcPr>
            <w:tcW w:type="dxa" w:w="3173"/>
            <w:shd w:fill="F4F7FB" w:val="clear"/>
          </w:tcPr>
          <w:p>
            <w:r/>
            <w:r>
              <w:rPr>
                <w:rFonts w:ascii="Calibri" w:hAnsi="Calibri" w:eastAsia="Calibri"/>
                <w:b w:val="0"/>
                <w:i w:val="0"/>
                <w:sz w:val="20"/>
              </w:rPr>
              <w:t>Espiral de reenganche</w:t>
            </w:r>
          </w:p>
        </w:tc>
        <w:tc>
          <w:tcPr>
            <w:tcW w:type="dxa" w:w="3173"/>
            <w:shd w:fill="F4F7FB" w:val="clear"/>
          </w:tcPr>
          <w:p>
            <w:r/>
            <w:r>
              <w:rPr>
                <w:rFonts w:ascii="Calibri" w:hAnsi="Calibri" w:eastAsia="Calibri"/>
                <w:b w:val="0"/>
                <w:i w:val="0"/>
                <w:sz w:val="20"/>
              </w:rPr>
              <w:t>Ventana de rescate: si el hueco supera unas dos horas y la fatiga es baja, invertir la penalización.</w:t>
            </w:r>
          </w:p>
        </w:tc>
        <w:tc>
          <w:tcPr>
            <w:tcW w:type="dxa" w:w="3173"/>
            <w:shd w:fill="F4F7FB" w:val="clear"/>
          </w:tcPr>
          <w:p>
            <w:r>
              <w:t>Implementado. Con 180 minutos y fatiga baja, el costo de reenganche suma a la similitud en lugar de restar, y ese aumento no se recorta si la coincidencia de contenido ya estaba en 1. Por eso un narrativo pausado puede liderar el sábado.</w:t>
            </w:r>
            <w:r>
              <w:rPr>
                <w:rFonts w:ascii="Calibri" w:hAnsi="Calibri" w:eastAsia="Calibri"/>
                <w:b w:val="0"/>
                <w:i w:val="0"/>
                <w:sz w:val="20"/>
              </w:rPr>
            </w:r>
          </w:p>
        </w:tc>
      </w:tr>
    </w:tbl>
    <w:p>
      <w:pPr>
        <w:spacing w:before="0" w:after="120" w:line="276" w:lineRule="auto"/>
      </w:pPr>
    </w:p>
    <w:p>
      <w:pPr>
        <w:spacing w:before="0" w:after="160" w:line="276" w:lineRule="auto"/>
        <w:jc w:val="both"/>
      </w:pPr>
      <w:r>
        <w:rPr>
          <w:rFonts w:ascii="Calibri" w:hAnsi="Calibri" w:eastAsia="Calibri"/>
          <w:b w:val="0"/>
          <w:i w:val="0"/>
          <w:sz w:val="24"/>
        </w:rPr>
        <w:t>La mitigación que más importa mostrarle a una persona es la comparación de listas, no un número de accuracy. El martes no devuelve Hades solo por costumbre. El sábado no devuelve Unpacking solo porque el martes funcionó.</w:t>
      </w:r>
    </w:p>
    <w:p>
      <w:pPr>
        <w:pStyle w:val="Heading1"/>
        <w:spacing w:before="320" w:after="160" w:line="276" w:lineRule="auto"/>
      </w:pPr>
      <w:r>
        <w:t>Anexo. Declaración de uso de IAG</w:t>
      </w:r>
    </w:p>
    <w:p>
      <w:pPr>
        <w:spacing w:before="0" w:after="160" w:line="276" w:lineRule="auto"/>
        <w:jc w:val="both"/>
      </w:pPr>
      <w:r>
        <w:rPr>
          <w:rFonts w:ascii="Calibri" w:hAnsi="Calibri" w:eastAsia="Calibri"/>
          <w:b w:val="0"/>
          <w:i w:val="0"/>
          <w:sz w:val="24"/>
        </w:rPr>
        <w:t xml:space="preserve">Nivel declarado: </w:t>
      </w:r>
      <w:r>
        <w:rPr>
          <w:rFonts w:ascii="Calibri" w:hAnsi="Calibri" w:eastAsia="Calibri"/>
          <w:b/>
          <w:i w:val="0"/>
          <w:sz w:val="24"/>
        </w:rPr>
        <w:t>4</w:t>
      </w:r>
      <w:r>
        <w:rPr>
          <w:rFonts w:ascii="Calibri" w:hAnsi="Calibri" w:eastAsia="Calibri"/>
          <w:b w:val="0"/>
          <w:i w:val="0"/>
          <w:sz w:val="24"/>
        </w:rPr>
        <w:t>, uso estratégico en el diseño, en el texto y en el código, según el acuerdo del programa del curso.</w:t>
      </w:r>
    </w:p>
    <w:p>
      <w:pPr>
        <w:spacing w:before="0" w:after="160" w:line="276" w:lineRule="auto"/>
        <w:jc w:val="both"/>
      </w:pPr>
      <w:r>
        <w:rPr>
          <w:rFonts w:ascii="Calibri" w:hAnsi="Calibri" w:eastAsia="Calibri"/>
          <w:b w:val="0"/>
          <w:i w:val="0"/>
          <w:sz w:val="24"/>
        </w:rPr>
        <w:t>Se usó un asistente de programación (Cursor, modelo de lenguaje) para estructurar el informe, proponer el esquema de atributos, escribir el generador, el motor, el cuaderno, la demo y este documento, y para iterar los tres escenarios hasta que las listas se separaran de la línea base de horas. Las citas de clase se usaron como marco. El asistente no sustituye la lectura de ese material.</w:t>
      </w:r>
    </w:p>
    <w:p>
      <w:pPr>
        <w:spacing w:before="0" w:after="160" w:line="276" w:lineRule="auto"/>
        <w:jc w:val="both"/>
      </w:pPr>
      <w:r>
        <w:rPr>
          <w:rFonts w:ascii="Calibri" w:hAnsi="Calibri" w:eastAsia="Calibri"/>
          <w:b w:val="0"/>
          <w:i w:val="0"/>
          <w:sz w:val="24"/>
        </w:rPr>
        <w:t>El asistente puede proponer un orden que no sale del cálculo. Por eso el ranking vive en un solo módulo, la semilla es fija y el cuaderno comprueba que el primer puesto del martes cambia cuando se apaga el término colaborativo. Los atributos profundos siguen siendo estimaciones de diseño: no hubo una medición de laboratorio de la activación de cada título. El grupo puede explicar la viabilidad difusa, la similitud y el recorte por biblioteca.</w:t>
      </w:r>
    </w:p>
    <w:p>
      <w:pPr>
        <w:pStyle w:val="Heading1"/>
        <w:spacing w:before="320" w:after="160" w:line="276" w:lineRule="auto"/>
      </w:pPr>
      <w:r>
        <w:t>Referencias de curso usadas como marco</w:t>
      </w:r>
    </w:p>
    <w:p>
      <w:pPr>
        <w:pStyle w:val="ListBullet"/>
        <w:spacing w:before="20" w:after="60" w:line="276" w:lineRule="auto"/>
        <w:ind w:left="709"/>
      </w:pPr>
      <w:r>
        <w:rPr>
          <w:rFonts w:ascii="Calibri" w:hAnsi="Calibri" w:eastAsia="Calibri"/>
          <w:b w:val="0"/>
          <w:i w:val="0"/>
          <w:sz w:val="24"/>
        </w:rPr>
        <w:t>Friedman, B. y Nissenbaum, H. (1996). Bias in computer systems. Leído a través del encuadre del curso en el trabajo de recomendación musical.</w:t>
      </w:r>
    </w:p>
    <w:p>
      <w:pPr>
        <w:pStyle w:val="ListBullet"/>
        <w:spacing w:before="20" w:after="60" w:line="276" w:lineRule="auto"/>
        <w:ind w:left="709"/>
      </w:pPr>
      <w:r>
        <w:rPr>
          <w:rFonts w:ascii="Calibri" w:hAnsi="Calibri" w:eastAsia="Calibri"/>
          <w:b w:val="0"/>
          <w:i w:val="0"/>
          <w:sz w:val="24"/>
        </w:rPr>
        <w:t>Flexer, A. y colaboradores (2018), sobre hubness, citado en ese mismo trabajo.</w:t>
      </w:r>
    </w:p>
    <w:p>
      <w:pPr>
        <w:pStyle w:val="ListBullet"/>
        <w:spacing w:before="20" w:after="60" w:line="276" w:lineRule="auto"/>
        <w:ind w:left="709"/>
      </w:pPr>
      <w:r>
        <w:rPr>
          <w:rFonts w:ascii="Calibri" w:hAnsi="Calibri" w:eastAsia="Calibri"/>
          <w:b w:val="0"/>
          <w:i w:val="0"/>
          <w:sz w:val="24"/>
        </w:rPr>
        <w:t>Artículo de reconocimiento de emoción con señales fisiológicas de la carpeta 2, para la diferencia usuario-dependiente / usuario-independiente.</w:t>
      </w:r>
    </w:p>
    <w:p>
      <w:pPr>
        <w:pStyle w:val="ListBullet"/>
        <w:spacing w:before="20" w:after="60" w:line="276" w:lineRule="auto"/>
        <w:ind w:left="709"/>
      </w:pPr>
      <w:r>
        <w:rPr>
          <w:rFonts w:ascii="Calibri" w:hAnsi="Calibri" w:eastAsia="Calibri"/>
          <w:b w:val="0"/>
          <w:i w:val="0"/>
          <w:sz w:val="24"/>
        </w:rPr>
        <w:t>Revisión de prototipos del curso (ACDSA), en particular la advertencia frente al recomendador superficial de Steam y el problema non-superstar.</w:t>
      </w:r>
    </w:p>
    <w:sectPr w:rsidR="00FC693F" w:rsidRPr="0006063C" w:rsidSect="00034616">
      <w:headerReference w:type="default" r:id="rId9"/>
      <w:footerReference w:type="default" r:id="rId10"/>
      <w:pgSz w:w="12240" w:h="15840"/>
      <w:pgMar w:top="1247" w:right="1361" w:bottom="1247" w:left="136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C6B7A"/>
        <w:sz w:val="18"/>
      </w:rPr>
      <w:t xml:space="preserve">Introducción al diseño de sistemas recomendadores  ·  página </w:t>
    </w:r>
    <w:r>
      <w:rPr>
        <w:rFonts w:ascii="Calibri" w:hAnsi="Calibri" w:eastAsia="Calibri"/>
        <w:b w:val="0"/>
        <w:i w:val="0"/>
        <w:color w:val="5C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C6B7A"/>
        <w:sz w:val="18"/>
      </w:rPr>
      <w:t>PlayNow  ·  Parte 3 de 3  ·  Sesgos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