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12/02/2024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ha procedido a analizar los requisitos individuales del Student #2 en la primera entrega de la asignatura. No se han encontrado potenciales errores en la descripción de los mismos.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Modify the anonymous menu so that it shows an option that takes the browser to the home page of your favourite web site.  The title must read as follows: “〈id-number〉: 〈surname〉, 〈name〉”, where “〈id-number〉” denotes your DNI, NIE, or passport number, “〈surname〉” denotes your surname/s, and “〈name〉” denotes your name/s.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el requisito tal y como viene descrito en el documento de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esta entrega no será necesario consultar al cliente acerca de imprecisiones, incongruencias o incompletitudes en los requisitos individuales del Student #2. Se procederá al desarrollo con total normalidad.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