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C2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.034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Castro Vázquez, Jose Ignacio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joscasvaz@alum.us.es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3v012my8e3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uk80crf36i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0bfbulml1a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v8g9nag1v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uf1f4hu30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Registros de análisis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ajb8esrr1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8w00qf3u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mth5o7onbeor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43v012my8e3e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Resumen ejecutivo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 este análisis buscaremos imprecisiones, incongruencias e indeterminaciones en los requisitos individuales solicitados en la primera entrega de la asignatura al Student #2. La finalidad será describir los mismos con la mayor precisión posible, buscando optimizar la satisfacción del cliente.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uk80crf36ih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revisiones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Versión original.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09/02/2024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Primera versión del documento.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12/02/2024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  <w:t xml:space="preserve">v2.0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  <w:t xml:space="preserve">Versión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  <w:t xml:space="preserve">08/03/2024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u0bfbulml1a6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 ha procedido a analizar los requisitos individuales del Student #2 en la segunda entrega de la asignatura.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8fv8g9nag1vc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Contenidos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16uf1f4hu30m" w:id="5"/>
      <w:bookmarkEnd w:id="5"/>
      <w:r w:rsidDel="00000000" w:rsidR="00000000" w:rsidRPr="00000000">
        <w:rPr>
          <w:sz w:val="26"/>
          <w:szCs w:val="26"/>
          <w:rtl w:val="0"/>
        </w:rPr>
        <w:t xml:space="preserve">Registros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Cálculo del budget a partir del coste de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Esperar a que se nos explique cómo implementarlo.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Cómo almacenar el porcentaje, como decimal o entero de 0 a 100.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porcentaje se almacenará como un double entre 0 y 1, ambos incluidos.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queda del todo claro cómo manejar las divisas a la hora de hacer el cálculo de las desviaciones en Money.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feedback del cliente apunta a que en Acme Jobs hay un conversor de divisas.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Acme Jobs y adaptar su funcionalidad de conversión de divisas a nuestro proyecto. Provisionalmente trabajar con enteros.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el requisito siguiendo las guías de documentación de la asignatura.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especifica si se puede implementar como enumerado el tipo de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como enumerado salvo que el cliente indique expresamente lo contrario.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el requisito siguiendo las guías de documentación de la asignatura.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el requisito siguiendo las guías de documentación de la asignatura.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el requisito siguiendo las guías de documentación de la asignatura.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al cliente.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bajb8esrr12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Conclusiones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 esta entrega se han encontrado imprecisiones, incongruencias e incompletitudes en los requisitos individuales del Student #2. Se procederá al desarrollo tras consultar al cliente para cumplir con sus expectativas.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588w00qf3urg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Bibliografía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uanlo017/c1.0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