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sz w:val="30"/>
          <w:szCs w:val="30"/>
          <w:rtl w:val="0"/>
        </w:rPr>
        <w:t xml:space="preserve">C3</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Con este análisis buscaremos imprecisiones, incongruencias e indeterminaciones en los requisitos individuales solicitados en la </w:t>
      </w:r>
      <w:r w:rsidDel="00000000" w:rsidR="00000000" w:rsidRPr="00000000">
        <w:rPr>
          <w:rtl w:val="0"/>
        </w:rPr>
        <w:t xml:space="preserve">tercera </w:t>
      </w:r>
      <w:r w:rsidDel="00000000" w:rsidR="00000000" w:rsidRPr="00000000">
        <w:rPr>
          <w:rFonts w:ascii="Montserrat" w:cs="Montserrat" w:eastAsia="Montserrat" w:hAnsi="Montserrat"/>
          <w:rtl w:val="0"/>
        </w:rPr>
        <w:t xml:space="preserve">entrega de la asignatura al Student #2. La finalidad será describir los mismos con la mayor precisión posible, buscando optimizar la satisfacción del cliente.</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r w:rsidDel="00000000" w:rsidR="00000000" w:rsidRPr="00000000">
              <w:rPr>
                <w:rtl w:val="0"/>
              </w:rPr>
              <w:t xml:space="preserve">1</w:t>
            </w:r>
            <w:r w:rsidDel="00000000" w:rsidR="00000000" w:rsidRPr="00000000">
              <w:rPr>
                <w:rFonts w:ascii="Montserrat" w:cs="Montserrat" w:eastAsia="Montserrat" w:hAnsi="Montserrat"/>
                <w:rtl w:val="0"/>
              </w:rPr>
              <w:t xml:space="preserve">/0</w:t>
            </w:r>
            <w:r w:rsidDel="00000000" w:rsidR="00000000" w:rsidRPr="00000000">
              <w:rPr>
                <w:rtl w:val="0"/>
              </w:rPr>
              <w:t xml:space="preserve">4</w:t>
            </w:r>
            <w:r w:rsidDel="00000000" w:rsidR="00000000" w:rsidRPr="00000000">
              <w:rPr>
                <w:rFonts w:ascii="Montserrat" w:cs="Montserrat" w:eastAsia="Montserrat" w:hAnsi="Montserrat"/>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t xml:space="preserve">v2.0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t xml:space="preserve">Modificaciones para la convocatoria de octubre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t xml:space="preserve">20/10/2024</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B">
      <w:pPr>
        <w:rPr/>
      </w:pPr>
      <w:r w:rsidDel="00000000" w:rsidR="00000000" w:rsidRPr="00000000">
        <w:rPr>
          <w:rtl w:val="0"/>
        </w:rPr>
        <w:t xml:space="preserve">Se ha procedido a analizar los requisitos individuales del Student #2 en la tercera entrega de la asignatura.</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8fv8g9nag1vc"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2E">
      <w:pPr>
        <w:pStyle w:val="Heading2"/>
        <w:rPr/>
      </w:pPr>
      <w:bookmarkStart w:colFirst="0" w:colLast="0" w:name="_16uf1f4hu30m" w:id="5"/>
      <w:bookmarkEnd w:id="5"/>
      <w:r w:rsidDel="00000000" w:rsidR="00000000" w:rsidRPr="00000000">
        <w:rPr>
          <w:sz w:val="26"/>
          <w:szCs w:val="26"/>
          <w:rtl w:val="0"/>
        </w:rPr>
        <w:t xml:space="preserve">Registros de análisis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80"/>
        <w:gridCol w:w="3315"/>
        <w:gridCol w:w="1560"/>
        <w:tblGridChange w:id="0">
          <w:tblGrid>
            <w:gridCol w:w="1305"/>
            <w:gridCol w:w="3180"/>
            <w:gridCol w:w="3315"/>
            <w:gridCol w:w="15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Conclusiones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contratos tienen un proyecto asociado cuyo presupuesto no puede exceder la suma de los costes de dichos contratos. Necesitamos que el proyecto no cambie de presupuesto.</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la hora de calcular el presupuesto restante del proyecto se puede llegar a un estado de inconsistencia, puesto que si ignoramos los costes de los contratos en modo borrador éstos quedarían desactualizados.</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Sería de gran utilidad poder visualizar el presupuesto restante del proyecto, aunque no se nos solicita explícitamente.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Tan sólo se podrán asociar contratos a proyectos publicados, es decir, que no están en modo borrador. Así nos aseguramos de que su presupuesto no se modifique. Para ello, el listado de selección a la hora de crear, actualizar o publicar contratos tan sólo mostrará proyectos publicados.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considerarán también los costes de los contratos en borrador a la hora de calcular el presupuesto restante de un proyecto. Si el usuario quiere publicar un contrato que exceda el presupuesto restante, deberá eliminar otros contratos en modo borrador asociados al mismo proyecto o actualizarlos disminuyendo su coste.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Incorporaremos el presupuesto restante cuando se escoja el proyecto. Así el usuario podrá corregir y adecuar el coste del contrato al presupuesto restante del proyecto, así como poner la divisa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Consultar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6"/>
              </w:numPr>
              <w:spacing w:line="240" w:lineRule="auto"/>
              <w:ind w:left="720" w:hanging="360"/>
              <w:rPr>
                <w:u w:val="none"/>
              </w:rPr>
            </w:pPr>
            <w:r w:rsidDel="00000000" w:rsidR="00000000" w:rsidRPr="00000000">
              <w:rPr>
                <w:rtl w:val="0"/>
              </w:rPr>
              <w:t xml:space="preserve">Al igual que en el requisito anterior, los registros de progreso están asociados a un contrato. Necesitamos que los contratos no cambien para asegurar la consistencia de las relaciones entre los registros de progreso y éstos.</w:t>
            </w:r>
          </w:p>
          <w:p w:rsidR="00000000" w:rsidDel="00000000" w:rsidP="00000000" w:rsidRDefault="00000000" w:rsidRPr="00000000" w14:paraId="0000003E">
            <w:pPr>
              <w:widowControl w:val="0"/>
              <w:numPr>
                <w:ilvl w:val="0"/>
                <w:numId w:val="6"/>
              </w:numPr>
              <w:spacing w:line="240" w:lineRule="auto"/>
              <w:ind w:left="720" w:hanging="360"/>
              <w:rPr>
                <w:u w:val="none"/>
              </w:rPr>
            </w:pPr>
            <w:r w:rsidDel="00000000" w:rsidR="00000000" w:rsidRPr="00000000">
              <w:rPr>
                <w:rtl w:val="0"/>
              </w:rPr>
              <w:t xml:space="preserve">No se especifica si los registros de progreso se pueden publicar estando éstos incompletos, es decir, con la completitud a menos de 1.</w:t>
            </w:r>
          </w:p>
          <w:p w:rsidR="00000000" w:rsidDel="00000000" w:rsidP="00000000" w:rsidRDefault="00000000" w:rsidRPr="00000000" w14:paraId="0000003F">
            <w:pPr>
              <w:widowControl w:val="0"/>
              <w:numPr>
                <w:ilvl w:val="0"/>
                <w:numId w:val="6"/>
              </w:numPr>
              <w:spacing w:line="240" w:lineRule="auto"/>
              <w:ind w:left="720" w:hanging="360"/>
              <w:rPr>
                <w:u w:val="none"/>
              </w:rPr>
            </w:pPr>
            <w:r w:rsidDel="00000000" w:rsidR="00000000" w:rsidRPr="00000000">
              <w:rPr>
                <w:rtl w:val="0"/>
              </w:rPr>
              <w:t xml:space="preserve">Si permitimos que se le pueda asignar cualquier contrato a un registro de progreso, en caso de asignárselo a un contrato que no nos pertenece perderemos el control sobre éste registro de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line="240" w:lineRule="auto"/>
              <w:ind w:left="720" w:hanging="360"/>
              <w:rPr>
                <w:u w:val="none"/>
              </w:rPr>
            </w:pPr>
            <w:r w:rsidDel="00000000" w:rsidR="00000000" w:rsidRPr="00000000">
              <w:rPr>
                <w:rtl w:val="0"/>
              </w:rPr>
              <w:t xml:space="preserve">Tan sólo se podrán asignar registros de progreso a contratos ya publicados, es decir, que no están en modo borrador. Para ello, el listado de selección a la hora de crear, actualizar o publicar registros de progreso tan sólo mostrarán contratos publicados.</w:t>
            </w:r>
          </w:p>
          <w:p w:rsidR="00000000" w:rsidDel="00000000" w:rsidP="00000000" w:rsidRDefault="00000000" w:rsidRPr="00000000" w14:paraId="00000041">
            <w:pPr>
              <w:widowControl w:val="0"/>
              <w:numPr>
                <w:ilvl w:val="0"/>
                <w:numId w:val="2"/>
              </w:numPr>
              <w:spacing w:line="240" w:lineRule="auto"/>
              <w:ind w:left="720" w:hanging="360"/>
              <w:rPr>
                <w:u w:val="none"/>
              </w:rPr>
            </w:pPr>
            <w:r w:rsidDel="00000000" w:rsidR="00000000" w:rsidRPr="00000000">
              <w:rPr>
                <w:rtl w:val="0"/>
              </w:rPr>
              <w:t xml:space="preserve">Entenderemos que es posible publicar un registro de progreso con la completitud inferior a 1, ya que alguno puede ser abortado y quedar incompleto antes de ser publicado.</w:t>
            </w:r>
          </w:p>
          <w:p w:rsidR="00000000" w:rsidDel="00000000" w:rsidP="00000000" w:rsidRDefault="00000000" w:rsidRPr="00000000" w14:paraId="00000042">
            <w:pPr>
              <w:widowControl w:val="0"/>
              <w:numPr>
                <w:ilvl w:val="0"/>
                <w:numId w:val="2"/>
              </w:numPr>
              <w:spacing w:line="240" w:lineRule="auto"/>
              <w:ind w:left="720" w:hanging="360"/>
              <w:rPr>
                <w:u w:val="none"/>
              </w:rPr>
            </w:pPr>
            <w:r w:rsidDel="00000000" w:rsidR="00000000" w:rsidRPr="00000000">
              <w:rPr>
                <w:rtl w:val="0"/>
              </w:rPr>
              <w:t xml:space="preserve">Sólo se mostrará como opción en el desplegable de contratos aquellos que le pertenezcan al cliente. De este modo, no se podrán crear registros de progreso asociados a contratos que no le pertenecen al cliente que está usando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Consultar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
              </w:numPr>
              <w:spacing w:line="240" w:lineRule="auto"/>
              <w:ind w:left="720" w:hanging="360"/>
              <w:rPr>
                <w:u w:val="none"/>
              </w:rPr>
            </w:pPr>
            <w:r w:rsidDel="00000000" w:rsidR="00000000" w:rsidRPr="00000000">
              <w:rPr>
                <w:rtl w:val="0"/>
              </w:rPr>
              <w:t xml:space="preserve">Al hacer cálculos como la media o la desviación típica, el resultado puede contener más de dos decimales.</w:t>
            </w:r>
          </w:p>
          <w:p w:rsidR="00000000" w:rsidDel="00000000" w:rsidP="00000000" w:rsidRDefault="00000000" w:rsidRPr="00000000" w14:paraId="00000046">
            <w:pPr>
              <w:widowControl w:val="0"/>
              <w:numPr>
                <w:ilvl w:val="0"/>
                <w:numId w:val="4"/>
              </w:numPr>
              <w:spacing w:line="240" w:lineRule="auto"/>
              <w:ind w:left="720" w:hanging="360"/>
              <w:rPr>
                <w:u w:val="none"/>
              </w:rPr>
            </w:pPr>
            <w:r w:rsidDel="00000000" w:rsidR="00000000" w:rsidRPr="00000000">
              <w:rPr>
                <w:rtl w:val="0"/>
              </w:rPr>
              <w:t xml:space="preserve">En el requisito no se tiene en cuenta si los registros de progreso o los contratos están en modo borrador a la hora de realizar los cálculos.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spacing w:line="240" w:lineRule="auto"/>
              <w:ind w:left="720" w:hanging="360"/>
              <w:rPr>
                <w:u w:val="none"/>
              </w:rPr>
            </w:pPr>
            <w:r w:rsidDel="00000000" w:rsidR="00000000" w:rsidRPr="00000000">
              <w:rPr>
                <w:rtl w:val="0"/>
              </w:rPr>
              <w:t xml:space="preserve">Permitiremos que haya más decimales, ya que pueden aportar información valiosa al cliente. Trataremos el valor numérico de la currency (amount) como un double en este caso de manera excepcional, igual que ocurre con otros bienes como la gasolina cuyo precio cuenta con varios decimales.</w:t>
            </w:r>
          </w:p>
          <w:p w:rsidR="00000000" w:rsidDel="00000000" w:rsidP="00000000" w:rsidRDefault="00000000" w:rsidRPr="00000000" w14:paraId="00000048">
            <w:pPr>
              <w:widowControl w:val="0"/>
              <w:numPr>
                <w:ilvl w:val="0"/>
                <w:numId w:val="3"/>
              </w:numPr>
              <w:spacing w:line="240" w:lineRule="auto"/>
              <w:ind w:left="720" w:hanging="360"/>
              <w:rPr>
                <w:u w:val="none"/>
              </w:rPr>
            </w:pPr>
            <w:r w:rsidDel="00000000" w:rsidR="00000000" w:rsidRPr="00000000">
              <w:rPr>
                <w:rtl w:val="0"/>
              </w:rPr>
              <w:t xml:space="preserve">Tomaremos también los contratos y los registros de progreso en modo borrador. De este modo, si el cliente detecta alguna anomalía en las estadísticas de su panel de control, podrá consultar y modificar los contratos o registros de progreso correspondientes antes de publicarlos con errores potenciales.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Consultar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El requisito no presenta incongruencias o imprecisiones.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Implementar el requisito según se describe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Consultar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El requisito no presenta incongruencias o imprecisiones.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Implementar el requisito según se describe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Consultar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El requisito no presenta incongruencias o imprecisiones.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Implementar el requisito según se describe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Consultar al cliente.</w:t>
            </w:r>
          </w:p>
        </w:tc>
      </w:tr>
    </w:tbl>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Montserrat" w:cs="Montserrat" w:eastAsia="Montserrat" w:hAnsi="Montserrat"/>
          <w:b w:val="1"/>
          <w:sz w:val="30"/>
          <w:szCs w:val="30"/>
        </w:rPr>
      </w:pPr>
      <w:bookmarkStart w:colFirst="0" w:colLast="0" w:name="_obajb8esrr12" w:id="6"/>
      <w:bookmarkEnd w:id="6"/>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58">
      <w:pPr>
        <w:rPr/>
      </w:pPr>
      <w:r w:rsidDel="00000000" w:rsidR="00000000" w:rsidRPr="00000000">
        <w:rPr>
          <w:rtl w:val="0"/>
        </w:rPr>
        <w:t xml:space="preserve">En esta entrega se han encontrado imprecisiones, incongruencias e incompletitudes en los requisitos individuales del Student #2. Se procederá al desarrollo tras consultar al cliente para cumplir con sus expectativas.</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Montserrat" w:cs="Montserrat" w:eastAsia="Montserrat" w:hAnsi="Montserrat"/>
          <w:b w:val="1"/>
          <w:sz w:val="30"/>
          <w:szCs w:val="30"/>
        </w:rPr>
      </w:pPr>
      <w:bookmarkStart w:colFirst="0" w:colLast="0" w:name="_588w00qf3urg" w:id="7"/>
      <w:bookmarkEnd w:id="7"/>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5B">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