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Plataforma web de comercio y difusión para FERROELÉCTRICOS PYP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22 de Octubre de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Kamell Noguera, Mariana Gonzalez, Santiago Cardenas y Juan Lozano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Procesador Intel i5 - Ryzen 5, 8 GB RAM, SSD 256 GB.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Procesador Intel i7 - Ryzen 7, 16 GB RAM, SSD 512 GB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Windows 10 Profesional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recomendada:Windows 11 Profesional, Visual Studio Profesional  2022, Microsoft Office 2021, SQL Server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15 Mbps de velocidad de descarga y 5 Mbps de subida.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30 Mbps de velocidad de descarga y 15 Mbps de subida.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Servicio de soporte técnico básico que cubra fallos en el funcionamiento del sistema durante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primeros 6 meses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posteriores a la implementación.</w:t>
      </w:r>
    </w:p>
    <w:p w:rsidR="00000000" w:rsidDel="00000000" w:rsidP="00000000" w:rsidRDefault="00000000" w:rsidRPr="00000000" w14:paraId="00000012">
      <w:pPr>
        <w:spacing w:after="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Servicio de soporte técnico ampliado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garantía de 12 meses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posteriores a la implementación.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2040"/>
        <w:gridCol w:w="1005"/>
        <w:gridCol w:w="1050"/>
        <w:gridCol w:w="1095"/>
        <w:gridCol w:w="1620"/>
        <w:gridCol w:w="1020"/>
        <w:gridCol w:w="1425"/>
        <w:tblGridChange w:id="0">
          <w:tblGrid>
            <w:gridCol w:w="1620"/>
            <w:gridCol w:w="2040"/>
            <w:gridCol w:w="1005"/>
            <w:gridCol w:w="1050"/>
            <w:gridCol w:w="1095"/>
            <w:gridCol w:w="1620"/>
            <w:gridCol w:w="1020"/>
            <w:gridCol w:w="142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 A (Ecolite)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288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qd9wwbutndbk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Bombillo LED 15W Rosca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$5.600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$560,000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educe el consumo de energía mientras mejora la iluminación de sus 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Calidad aceptable, garantía de 24 meses y alta vida 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Marca genérica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B</w:t>
            </w:r>
          </w:p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(Casaferretera)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pStyle w:val="Heading1"/>
              <w:shd w:fill="ffffff" w:val="clear"/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bookmarkStart w:colFirst="0" w:colLast="0" w:name="_heading=h.lw2mmek275t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BOMBILLO LED MERCURY- 15W </w:t>
            </w:r>
          </w:p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$4.100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$410.000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Luz blanca, bajo 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Calidad aceptable y garantía de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 genérica, 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poca vida útil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C</w:t>
            </w:r>
          </w:p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(Casaandina)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80" w:line="258.1132075471698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bookmarkStart w:colFirst="0" w:colLast="0" w:name="_heading=h.1jsu9bugyl6j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color w:val="222222"/>
                <w:sz w:val="22"/>
                <w:szCs w:val="22"/>
                <w:rtl w:val="0"/>
              </w:rPr>
              <w:t xml:space="preserve">Bombillo Led 12w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luminación homogénea lo que garantiza la uniformidad de los</w:t>
            </w:r>
          </w:p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espacios</w:t>
            </w:r>
            <w:r w:rsidDel="00000000" w:rsidR="00000000" w:rsidRPr="00000000">
              <w:rPr>
                <w:rFonts w:ascii="Arial" w:cs="Arial" w:eastAsia="Arial" w:hAnsi="Arial"/>
                <w:color w:val="878787"/>
                <w:sz w:val="21"/>
                <w:szCs w:val="21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Precio bajo, vida util 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Marca genérica, Poca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D</w:t>
            </w:r>
          </w:p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(Exito)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" w:line="335.99999999999994" w:lineRule="auto"/>
              <w:rPr>
                <w:rFonts w:ascii="Helvetica Neue" w:cs="Helvetica Neue" w:eastAsia="Helvetica Neue" w:hAnsi="Helvetica Neue"/>
                <w:sz w:val="12"/>
                <w:szCs w:val="12"/>
              </w:rPr>
            </w:pPr>
            <w:bookmarkStart w:colFirst="0" w:colLast="0" w:name="_heading=h.rja104a124xo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color w:val="231f20"/>
                <w:sz w:val="20"/>
                <w:szCs w:val="20"/>
                <w:rtl w:val="0"/>
              </w:rPr>
              <w:t xml:space="preserve">BOMBILLO AHORR ESP 15W LUZ BLANCA PHILIPS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Luz suave, bajo 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Alta calidad, garantía amplia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Precio más alto, poca vida útil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504.1802043208845"/>
        <w:gridCol w:w="1036.025456372467"/>
        <w:gridCol w:w="1036.025456372467"/>
        <w:gridCol w:w="1530.5332440127286"/>
        <w:gridCol w:w="1563.0785463071516"/>
        <w:gridCol w:w="1563.0785463071516"/>
        <w:gridCol w:w="1563.0785463071516"/>
        <w:tblGridChange w:id="0">
          <w:tblGrid>
            <w:gridCol w:w="2504.1802043208845"/>
            <w:gridCol w:w="1036.025456372467"/>
            <w:gridCol w:w="1036.025456372467"/>
            <w:gridCol w:w="1530.5332440127286"/>
            <w:gridCol w:w="1563.0785463071516"/>
            <w:gridCol w:w="1563.0785463071516"/>
            <w:gridCol w:w="1563.0785463071516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6"/>
                <w:szCs w:val="26"/>
                <w:rtl w:val="0"/>
              </w:rPr>
              <w:t xml:space="preserve">Puntuación (1-5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A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rtl w:val="0"/>
              </w:rPr>
              <w:t xml:space="preserve">(Ecolite)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B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(Casaferretera)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C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Casaandina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D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(Exito)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4, 3, 5, 1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 x 0.30 = 1.20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x 0.30 = 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 x 0.30 = 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x 0.30 = 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3, 2, 2, 5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x 0.25 =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 x 0.25 = 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 x 0.25 = 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 x 0.25 = 1.25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3, 3, 1, 4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x 0.20 = 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x 0.20 = 0.60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x 0.20 = 0.20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 x 0.20 = 0.80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Vida 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5, 1, 3, 1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 x 0.15 =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x 0.15 = 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x 0.15 = 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x 0.15 = 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4, 2, 2, 5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 x 0.10 = 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 x 0.10 = 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 x 0.10 = 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 x 0.10 = 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jc w:val="right"/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3.70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30"/>
                <w:szCs w:val="30"/>
                <w:rtl w:val="0"/>
              </w:rPr>
              <w:t xml:space="preserve">2.35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 2.85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3.00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89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645.0" w:type="dxa"/>
        <w:jc w:val="left"/>
        <w:tblLayout w:type="fixed"/>
        <w:tblLook w:val="0400"/>
      </w:tblPr>
      <w:tblGrid>
        <w:gridCol w:w="2370"/>
        <w:gridCol w:w="1650"/>
        <w:gridCol w:w="960"/>
        <w:gridCol w:w="1305"/>
        <w:gridCol w:w="1290"/>
        <w:gridCol w:w="2070"/>
        <w:tblGridChange w:id="0">
          <w:tblGrid>
            <w:gridCol w:w="2370"/>
            <w:gridCol w:w="1650"/>
            <w:gridCol w:w="960"/>
            <w:gridCol w:w="1305"/>
            <w:gridCol w:w="1290"/>
            <w:gridCol w:w="2070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3.2" w:lineRule="auto"/>
              <w:rPr>
                <w:rFonts w:ascii="Roboto" w:cs="Roboto" w:eastAsia="Roboto" w:hAnsi="Roboto"/>
                <w:b w:val="0"/>
                <w:sz w:val="20"/>
                <w:szCs w:val="20"/>
              </w:rPr>
            </w:pPr>
            <w:bookmarkStart w:colFirst="0" w:colLast="0" w:name="_heading=h.ivf82rmbil2a" w:id="4"/>
            <w:bookmarkEnd w:id="4"/>
            <w:r w:rsidDel="00000000" w:rsidR="00000000" w:rsidRPr="00000000">
              <w:rPr>
                <w:rFonts w:ascii="Roboto" w:cs="Roboto" w:eastAsia="Roboto" w:hAnsi="Roboto"/>
                <w:b w:val="0"/>
                <w:sz w:val="20"/>
                <w:szCs w:val="20"/>
                <w:rtl w:val="0"/>
              </w:rPr>
              <w:t xml:space="preserve">Servidor Lenovo Ts440 Intel Xeon E3 1226 V3 Ram 32gb 1tb Ssd 32 Gb</w:t>
            </w:r>
          </w:p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$1.400.000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$1.400.000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Lenovo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de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Ryzen 7 5700G, 16GB De RAM, SSD 512 GB NVMe M.2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1.499.900.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1.499.900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Variable</w:t>
            </w:r>
          </w:p>
        </w:tc>
      </w:tr>
      <w:tr>
        <w:trPr>
          <w:cantSplit w:val="0"/>
          <w:trHeight w:val="679.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AOC 22B2HM2 22″ Full HD VA 100 Hz</w:t>
            </w:r>
          </w:p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$439.900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$439.900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AOC, 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Combo HP Alámbrico Teclado + Mouse 150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$120.000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$120.000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HP, 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  <w:rtl w:val="0"/>
              </w:rPr>
              <w:t xml:space="preserve">$3.459.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0"/>
                <w:szCs w:val="20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B0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080.0" w:type="dxa"/>
        <w:jc w:val="left"/>
        <w:tblLayout w:type="fixed"/>
        <w:tblLook w:val="0400"/>
      </w:tblPr>
      <w:tblGrid>
        <w:gridCol w:w="2537"/>
        <w:gridCol w:w="2680"/>
        <w:gridCol w:w="1037"/>
        <w:gridCol w:w="1444"/>
        <w:gridCol w:w="1223"/>
        <w:gridCol w:w="1159"/>
        <w:tblGridChange w:id="0">
          <w:tblGrid>
            <w:gridCol w:w="2537"/>
            <w:gridCol w:w="2680"/>
            <w:gridCol w:w="1037"/>
            <w:gridCol w:w="1444"/>
            <w:gridCol w:w="1223"/>
            <w:gridCol w:w="1159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1139.0234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PAQUETE: Windows 11 Pro + Microsoft Office 2021 Professional Plus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$70.000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$70.000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Licenciaspccl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Studio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Professional</w:t>
            </w:r>
          </w:p>
          <w:p w:rsidR="00000000" w:rsidDel="00000000" w:rsidP="00000000" w:rsidRDefault="00000000" w:rsidRPr="00000000" w14:paraId="000000C1">
            <w:pPr>
              <w:widowControl w:val="0"/>
              <w:ind w:left="83.42010498046875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$99.000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$99.000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Revolution 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SQL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$219.063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$219.063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G2A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uite de aplicaciones de productividad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(Office si formatea debe comprar un código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Incluido con 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Licenciaspccl</w:t>
            </w:r>
          </w:p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$388.063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DA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C. COSTOS ADICIONALES</w:t>
      </w:r>
    </w:p>
    <w:tbl>
      <w:tblPr>
        <w:tblStyle w:val="Table5"/>
        <w:tblW w:w="9600.0" w:type="dxa"/>
        <w:jc w:val="left"/>
        <w:tblLayout w:type="fixed"/>
        <w:tblLook w:val="0400"/>
      </w:tblPr>
      <w:tblGrid>
        <w:gridCol w:w="3960"/>
        <w:gridCol w:w="1860"/>
        <w:gridCol w:w="1740"/>
        <w:gridCol w:w="2040"/>
        <w:tblGridChange w:id="0">
          <w:tblGrid>
            <w:gridCol w:w="3960"/>
            <w:gridCol w:w="1860"/>
            <w:gridCol w:w="1740"/>
            <w:gridCol w:w="20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Formación del personal en el uso del sistema, manejo de inventario, generación de reportes y copias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$1.500.000 - $2.200.000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Una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Formación del personal en el uso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$1.000.000 - $2.000.000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Servicios básicos como Luz, agua y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$400.000 - $600.000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Mensual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Mantenimiento preventivo y correctivo de los equipos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$2.000.000 - $2.500.000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Atención remota o presencial para resolución de incidencias del sistema, actualizaciones de software y asistencia técnica continua.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$2.000.000 – $3.000.000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2108.86718749999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Fondos destinados a imprevistos técnicos, reemplazos de componentes o ampliaciones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$800.000 – $1.500.000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Dependiendo el caso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$Entre $8.000.000 y $15.000.000 aprox.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0FF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10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Objetivo de la 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Implementar un sistema informático de gestión para la tienda FERROELÉCTRICOS PYP que permita controlar el inventario, registrar ventas, generar reportes automáticos y optimizar los procesos administrativos, garantizando eficiencia y trazabilidad en las operaciones diarias.</w:t>
      </w:r>
    </w:p>
    <w:p w:rsidR="00000000" w:rsidDel="00000000" w:rsidP="00000000" w:rsidRDefault="00000000" w:rsidRPr="00000000" w14:paraId="0000010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solución incluye la instalación del software en los equipos del administrador y del trabajador, configuración de la base de datos, capacitación del personal, implementación de copias de seguridad automáticas y soporte técnico durante el primer año.</w:t>
      </w:r>
    </w:p>
    <w:p w:rsidR="00000000" w:rsidDel="00000000" w:rsidP="00000000" w:rsidRDefault="00000000" w:rsidRPr="00000000" w14:paraId="0000010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Beneficios Esperados: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Reducción de errores en el control de inventario.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Mayor agilidad en el proceso de venta.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rápido a reportes de ventas y existencias.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 en la atención al cliente y en la toma de decisiones.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Aseguramiento de la información mediante respaldos automáticos.</w:t>
      </w:r>
    </w:p>
    <w:p w:rsidR="00000000" w:rsidDel="00000000" w:rsidP="00000000" w:rsidRDefault="00000000" w:rsidRPr="00000000" w14:paraId="000001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Hardware: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Computador tipo torre con procesador Ryzen 7, 16 GB RAM, SSD 512 GB.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local con almacenamiento mínimo de 1 TB.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a Internet mínima de 10 Mbps (descarga) y 5 Mbps (subida).</w:t>
        <w:br w:type="textWrapping"/>
      </w:r>
    </w:p>
    <w:p w:rsidR="00000000" w:rsidDel="00000000" w:rsidP="00000000" w:rsidRDefault="00000000" w:rsidRPr="00000000" w14:paraId="00000112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Software: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operativo Windows 11 con licencia.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Office 365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actualizado (Chrome o Edge).</w:t>
        <w:br w:type="textWrapping"/>
      </w:r>
    </w:p>
    <w:p w:rsidR="00000000" w:rsidDel="00000000" w:rsidP="00000000" w:rsidRDefault="00000000" w:rsidRPr="00000000" w14:paraId="0000011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Preparación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Análisis de requerimientos, adquisición de equipos, instalación de licencias y software base.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estimado: 1 semana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Equipo técnico / Administrador del proyecto</w:t>
      </w:r>
    </w:p>
    <w:p w:rsidR="00000000" w:rsidDel="00000000" w:rsidP="00000000" w:rsidRDefault="00000000" w:rsidRPr="00000000" w14:paraId="0000011B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Montaje físico de equipos, configuración de red y acceso a base de datos.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estimado: 3 días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Técnico en sistemas</w:t>
      </w:r>
    </w:p>
    <w:p w:rsidR="00000000" w:rsidDel="00000000" w:rsidP="00000000" w:rsidRDefault="00000000" w:rsidRPr="00000000" w14:paraId="0000011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Configuración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Personalización del sistema, creación de usuarios y permisos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estimado: 3 días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Desarrollador/Tecnico</w:t>
      </w:r>
    </w:p>
    <w:p w:rsidR="00000000" w:rsidDel="00000000" w:rsidP="00000000" w:rsidRDefault="00000000" w:rsidRPr="00000000" w14:paraId="00000123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Pruebas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Validación de funcionamiento, registro de ventas de prueba, corrección de errores.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estimado: 4 días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Equipo técnico / Usuarios</w:t>
      </w:r>
    </w:p>
    <w:p w:rsidR="00000000" w:rsidDel="00000000" w:rsidP="00000000" w:rsidRDefault="00000000" w:rsidRPr="00000000" w14:paraId="00000127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Capacitación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Formación del personal en uso del sistema, reportes y copias de seguridad.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estimado: 2 días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Capacitador asignado</w:t>
      </w:r>
    </w:p>
    <w:p w:rsidR="00000000" w:rsidDel="00000000" w:rsidP="00000000" w:rsidRDefault="00000000" w:rsidRPr="00000000" w14:paraId="0000012A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Puesta en Marcha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Activación oficial del sistema, seguimiento inicial y soporte.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estimado: 2 días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Administrador/Soporte técnico</w:t>
      </w:r>
    </w:p>
    <w:p w:rsidR="00000000" w:rsidDel="00000000" w:rsidP="00000000" w:rsidRDefault="00000000" w:rsidRPr="00000000" w14:paraId="0000012E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C. CRONOGRAMA DE IMPLEMENTACIÓN</w:t>
      </w:r>
    </w:p>
    <w:tbl>
      <w:tblPr>
        <w:tblStyle w:val="Table6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905003393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2050725581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09656722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404968452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771306318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V. RESUMEN EJECUTIVO DE COSTOS</w:t>
      </w:r>
    </w:p>
    <w:tbl>
      <w:tblPr>
        <w:tblStyle w:val="Table7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.000.000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388.063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388.063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$3.000.000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30"/>
                <w:szCs w:val="30"/>
                <w:rtl w:val="0"/>
              </w:rPr>
              <w:t xml:space="preserve">10,588,063‬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30"/>
                <w:szCs w:val="30"/>
                <w:rtl w:val="0"/>
              </w:rPr>
              <w:t xml:space="preserve">3.500.000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6D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Nombre: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Diversos proveedores según requerimientos del proyecto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elección de proveedores se realiza con base en criterios de calidad, costo, soporte y disponibilidad. Esta estrategia permite contar con opciones flexibles que se ajustan a las necesidades técnicas y presupuestales de la empresa, garantizando un equilibrio entre rendimiento, fiabilidad y cumplimiento de plazos.</w:t>
      </w:r>
    </w:p>
    <w:p w:rsidR="00000000" w:rsidDel="00000000" w:rsidP="00000000" w:rsidRDefault="00000000" w:rsidRPr="00000000" w14:paraId="00000170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Ventajas Competitivas: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optimizar los recursos al seleccionar la mejor opción para cada fase del proyecto.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la contratación de servicios especializados en diferentes áreas (hardware, software, soporte, capacitación).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Incrementa la capacidad de respuesta ante cambios, imprevistos o nuevas necesidades.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Disminuye la dependencia de un solo proveedor, reduciendo riesgos técnicos y financieros.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Favorece mejores condiciones de negociación en precios, tiempos y garantías.</w:t>
        <w:br w:type="textWrapping"/>
      </w:r>
    </w:p>
    <w:p w:rsidR="00000000" w:rsidDel="00000000" w:rsidP="00000000" w:rsidRDefault="00000000" w:rsidRPr="00000000" w14:paraId="00000177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Supervisar regularmente la calidad de los servicios y productos suministrados por cada proveedor.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la existencia de contratos y acuerdos claros que definan tiempos de respuesta, mantenimiento y garantías.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un fondo de contingencia para cubrir eventuales gastos técnicos, de soporte o reposición de equipos.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Aprobación del costo total por gerencia o arrendador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Formalizar la compra e instalación de los equipos y licencias requeridas.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Coordinar la capacitación del personal y la puesta en marcha del sistema.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8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Documento elaborado el: [Fecha]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HelveticaNeue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HelveticaNeue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q5r2YYmxOjpwuKFpbLiH9MKWQ==">CgMxLjAaJgoBMBIhCh8IB0IbCg5IZWx2ZXRpY2EgTmV1ZRIJRmlyYSBNb25vGiYKATESIQofCAdCGwoOSGVsdmV0aWNhIE5ldWUSCUZpcmEgTW9ubxomCgEyEiEKHwgHQhsKDkhlbHZldGljYSBOZXVlEglGaXJhIE1vbm8aJgoBMxIhCh8IB0IbCg5IZWx2ZXRpY2EgTmV1ZRIJRmlyYSBNb25vGiYKATQSIQofCAdCGwoOSGVsdmV0aWNhIE5ldWUSCUZpcmEgTW9ubzIOaC5xZDl3d2J1dG5kYmsyDWgubHcybW1lazI3NXQyDmguMWpzdTlidWd5bDZqMg5oLnJqYTEwNGExMjR4bzIOaC5pdmY4MnJtYmlsMmE4AHIhMTBzbnJxRGdYeWswdnA5VHRaQ3B3WkM1c3ozSjV0UH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