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color w:val="000000"/>
          <w:sz w:val="44"/>
          <w:szCs w:val="44"/>
        </w:rPr>
      </w:pPr>
      <w:bookmarkStart w:colFirst="0" w:colLast="0" w:name="_heading=h.6mxdg1eel8me" w:id="0"/>
      <w:bookmarkEnd w:id="0"/>
      <w:r w:rsidDel="00000000" w:rsidR="00000000" w:rsidRPr="00000000">
        <w:rPr>
          <w:color w:val="000000"/>
          <w:sz w:val="44"/>
          <w:szCs w:val="44"/>
          <w:rtl w:val="0"/>
        </w:rPr>
        <w:t xml:space="preserve">CRUP</w:t>
      </w:r>
    </w:p>
    <w:tbl>
      <w:tblPr>
        <w:tblStyle w:val="Table1"/>
        <w:tblW w:w="10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15"/>
        <w:gridCol w:w="5385"/>
        <w:tblGridChange w:id="0">
          <w:tblGrid>
            <w:gridCol w:w="4815"/>
            <w:gridCol w:w="5385"/>
          </w:tblGrid>
        </w:tblGridChange>
      </w:tblGrid>
      <w:tr>
        <w:trPr>
          <w:cantSplit w:val="0"/>
          <w:tblHeader w:val="0"/>
        </w:trPr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 </w:t>
            </w:r>
          </w:p>
        </w:tc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EPIDEMIOLOGÍA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Inflamación aguda de vías aéreas superiores subglóticas y laringe, es autolimitado</w:t>
            </w:r>
            <w:r w:rsidDel="00000000" w:rsidR="00000000" w:rsidRPr="00000000">
              <w:rPr>
                <w:rtl w:val="0"/>
              </w:rPr>
              <w:t xml:space="preserve"> y la mayoría de veces benigno, es de etiología viral la mayoría de las veces.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Causa más frecuente de obstrucción aguda de la via aérea superior de la infancia 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2-6% en menores de 6 años y</w:t>
            </w:r>
            <w:r w:rsidDel="00000000" w:rsidR="00000000" w:rsidRPr="00000000">
              <w:rPr>
                <w:b w:val="1"/>
                <w:rtl w:val="0"/>
              </w:rPr>
              <w:t xml:space="preserve"> hace un pico a los 2 años de edad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 en varones 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Antecedentes en al familia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Más frecuente en otoño e invierno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 son leves </w:t>
            </w:r>
          </w:p>
        </w:tc>
      </w:tr>
      <w:tr>
        <w:trPr>
          <w:cantSplit w:val="0"/>
          <w:tblHeader w:val="0"/>
        </w:trPr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FACTORES DE RIESGO </w:t>
            </w:r>
          </w:p>
        </w:tc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ETIOLOGÍA 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Estrechamiento congénito de vías respiratorias como una estenosis subglótica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Hiperreactividad de la vía aérea como atopías y ERGE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Estenosis post TOT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CRUP VIRAL: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Virus Parainfluenza tipo I en más del 75% de los casos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 Parainfluenza tipo II hace cuadros </w:t>
            </w:r>
            <w:r w:rsidDel="00000000" w:rsidR="00000000" w:rsidRPr="00000000">
              <w:rPr>
                <w:shd w:fill="adcfff" w:val="clear"/>
                <w:rtl w:val="0"/>
              </w:rPr>
              <w:t xml:space="preserve">más leves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 Parainfluenza tipo III hace cuadros muy esporádicos,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pero más severos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Virus sincitial respiratorio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Adenovirus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Sarampión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 menor frecuencia por bacterias atípicas como el Mycoplasma Pneumoniae</w:t>
            </w:r>
          </w:p>
          <w:p w:rsidR="00000000" w:rsidDel="00000000" w:rsidP="00000000" w:rsidRDefault="00000000" w:rsidRPr="00000000" w14:paraId="00000018">
            <w:pPr>
              <w:widowControl w:val="0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CRUP ESPASMÓDICO: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Cuadro de obstrucción súbita por edema NO inflamatorio de la submucosa de la tráquea subglótica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de causa desconocida 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Más frecuente entre los 3 meses a 3 años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Evolución corta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Afebril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asocia a cuadros de hiperreactividad bronquial e infección viral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Generalmente hay antecedente familiar y presencia de atopias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Puede repetir el mismo día o en los días inmediatamente siguientes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4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mejora tranquilizando al niño y con aire húmedo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PATOGENIA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7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Contagio de persona a persona  aerosoles, que llegan a la nasofaringe y traque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7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aerosoles pueden detenerse o descender al árbol respiratorio, donde generan inflamación de la tráquea y alteran la cuerdas vocales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7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Estrechamiento de la via aérea por inflamación de SDR  causando estridor (Ruido respiratorio secundario a la obstrucción de la via aérea)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7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Paresia de la cuerdas vocales, generando disfonía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Aumento des secreción viscosa y Dificultad respiratorio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CLÍNICA </w:t>
            </w:r>
          </w:p>
        </w:tc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EXAMEN FÍSICO: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caracteriza por: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Tos perruna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Ronquera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>
                <w:b w:val="1"/>
                <w:shd w:fill="36e4ff" w:val="clear"/>
              </w:rPr>
            </w:pPr>
            <w:r w:rsidDel="00000000" w:rsidR="00000000" w:rsidRPr="00000000">
              <w:rPr>
                <w:b w:val="1"/>
                <w:shd w:fill="36e4ff" w:val="clear"/>
                <w:rtl w:val="0"/>
              </w:rPr>
              <w:t xml:space="preserve">Estridor inspiratorio SIEMPRE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0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Disfonía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Antecedente de infección respiratoria superior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2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Taquicardia y taquipnea acompañado de estridor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2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EVALÚE ESCALA DE SEVERIDAD DEL CRUP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Leve: menor o igual a 4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Moderado: 5 a 8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1"/>
                <w:numId w:val="12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Grave: 9 o más,  pueden tener hipoxia y signos de peligro, si es menor de 3 meses se queda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75.0" w:type="dxa"/>
              <w:jc w:val="left"/>
              <w:tblInd w:w="48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835"/>
              <w:gridCol w:w="1125"/>
              <w:tblGridChange w:id="0">
                <w:tblGrid>
                  <w:gridCol w:w="2715"/>
                  <w:gridCol w:w="2835"/>
                  <w:gridCol w:w="11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3"/>
                  <w:shd w:fill="36e4ff" w:val="clear"/>
                </w:tcPr>
                <w:p w:rsidR="00000000" w:rsidDel="00000000" w:rsidP="00000000" w:rsidRDefault="00000000" w:rsidRPr="00000000" w14:paraId="0000003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ESCALA DE SEVERIDAD DEL CRUP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gridSpan w:val="2"/>
                </w:tcPr>
                <w:p w:rsidR="00000000" w:rsidDel="00000000" w:rsidP="00000000" w:rsidRDefault="00000000" w:rsidRPr="00000000" w14:paraId="0000003D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SÍNTOMAS</w:t>
                  </w:r>
                </w:p>
              </w:tc>
              <w:tc>
                <w:tcPr/>
                <w:p w:rsidR="00000000" w:rsidDel="00000000" w:rsidP="00000000" w:rsidRDefault="00000000" w:rsidRPr="00000000" w14:paraId="0000003F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SCORE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40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41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ESTRIDOR</w:t>
                  </w:r>
                </w:p>
              </w:tc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4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Cuando está agitado</w:t>
                  </w:r>
                </w:p>
              </w:tc>
              <w:tc>
                <w:tcPr/>
                <w:p w:rsidR="00000000" w:rsidDel="00000000" w:rsidP="00000000" w:rsidRDefault="00000000" w:rsidRPr="00000000" w14:paraId="00000046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 reposo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4A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B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RETRACCIÓN </w:t>
                  </w:r>
                </w:p>
                <w:p w:rsidR="00000000" w:rsidDel="00000000" w:rsidP="00000000" w:rsidRDefault="00000000" w:rsidRPr="00000000" w14:paraId="0000004C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(TIRAJE)</w:t>
                  </w:r>
                </w:p>
              </w:tc>
              <w:tc>
                <w:tcPr/>
                <w:p w:rsidR="00000000" w:rsidDel="00000000" w:rsidP="00000000" w:rsidRDefault="00000000" w:rsidRPr="00000000" w14:paraId="0000004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Leve</w:t>
                  </w:r>
                </w:p>
              </w:tc>
              <w:tc>
                <w:tcPr/>
                <w:p w:rsidR="00000000" w:rsidDel="00000000" w:rsidP="00000000" w:rsidRDefault="00000000" w:rsidRPr="00000000" w14:paraId="0000005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Moderada</w:t>
                  </w:r>
                </w:p>
              </w:tc>
              <w:tc>
                <w:tcPr/>
                <w:p w:rsidR="00000000" w:rsidDel="00000000" w:rsidP="00000000" w:rsidRDefault="00000000" w:rsidRPr="00000000" w14:paraId="00000054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Severa</w:t>
                  </w:r>
                </w:p>
              </w:tc>
              <w:tc>
                <w:tcPr/>
                <w:p w:rsidR="00000000" w:rsidDel="00000000" w:rsidP="00000000" w:rsidRDefault="00000000" w:rsidRPr="00000000" w14:paraId="0000005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58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ENTRADA DE AIRE</w:t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Normal</w:t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Disminuida</w:t>
                  </w:r>
                </w:p>
              </w:tc>
              <w:tc>
                <w:tcPr/>
                <w:p w:rsidR="00000000" w:rsidDel="00000000" w:rsidP="00000000" w:rsidRDefault="00000000" w:rsidRPr="00000000" w14:paraId="0000005E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Marcadamente disminuida</w:t>
                  </w:r>
                </w:p>
              </w:tc>
              <w:tc>
                <w:tcPr/>
                <w:p w:rsidR="00000000" w:rsidDel="00000000" w:rsidP="00000000" w:rsidRDefault="00000000" w:rsidRPr="00000000" w14:paraId="0000006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62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3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CIANOSIS RESPIRANDO AIRE AMBIENTE</w:t>
                  </w:r>
                </w:p>
              </w:tc>
              <w:tc>
                <w:tcPr/>
                <w:p w:rsidR="00000000" w:rsidDel="00000000" w:rsidP="00000000" w:rsidRDefault="00000000" w:rsidRPr="00000000" w14:paraId="0000006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065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 agitación</w:t>
                  </w:r>
                </w:p>
              </w:tc>
              <w:tc>
                <w:tcPr/>
                <w:p w:rsidR="00000000" w:rsidDel="00000000" w:rsidP="00000000" w:rsidRDefault="00000000" w:rsidRPr="00000000" w14:paraId="0000006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6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 reposo</w:t>
                  </w:r>
                </w:p>
              </w:tc>
              <w:tc>
                <w:tcPr/>
                <w:p w:rsidR="00000000" w:rsidDel="00000000" w:rsidP="00000000" w:rsidRDefault="00000000" w:rsidRPr="00000000" w14:paraId="0000006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restart"/>
                </w:tcPr>
                <w:p w:rsidR="00000000" w:rsidDel="00000000" w:rsidP="00000000" w:rsidRDefault="00000000" w:rsidRPr="00000000" w14:paraId="0000006C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6D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NIVEL DE CONCIENCIA</w:t>
                  </w:r>
                </w:p>
              </w:tc>
              <w:tc>
                <w:tcPr/>
                <w:p w:rsidR="00000000" w:rsidDel="00000000" w:rsidP="00000000" w:rsidRDefault="00000000" w:rsidRPr="00000000" w14:paraId="0000006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Normal</w:t>
                  </w:r>
                </w:p>
              </w:tc>
              <w:tc>
                <w:tcPr/>
                <w:p w:rsidR="00000000" w:rsidDel="00000000" w:rsidP="00000000" w:rsidRDefault="00000000" w:rsidRPr="00000000" w14:paraId="0000006F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Desorientado</w:t>
                  </w:r>
                </w:p>
              </w:tc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 w14:paraId="0000007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DIAGNÓSTICO </w:t>
            </w:r>
          </w:p>
        </w:tc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DIAGNÓSTICO DIFERENCIAL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3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Eminentemente clínico: </w:t>
            </w:r>
            <w:r w:rsidDel="00000000" w:rsidR="00000000" w:rsidRPr="00000000">
              <w:rPr>
                <w:rtl w:val="0"/>
              </w:rPr>
              <w:t xml:space="preserve">depende de la historia clinica y examen fisico 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1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Radiografía de cuello</w:t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Buscar dx diferencial y complicaciones 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realiza en pacientes estables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Es positiva si se ve Campanario o punta de lápiz </w:t>
            </w:r>
          </w:p>
          <w:p w:rsidR="00000000" w:rsidDel="00000000" w:rsidP="00000000" w:rsidRDefault="00000000" w:rsidRPr="00000000" w14:paraId="0000007C">
            <w:pPr>
              <w:widowControl w:val="0"/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Laringoscopia: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Edema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eritema debajo de cuerdas, exudado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fibrina en todo el epitelio. </w:t>
            </w:r>
          </w:p>
          <w:p w:rsidR="00000000" w:rsidDel="00000000" w:rsidP="00000000" w:rsidRDefault="00000000" w:rsidRPr="00000000" w14:paraId="00000081">
            <w:pPr>
              <w:widowControl w:val="0"/>
              <w:ind w:left="144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13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Dx etiológico 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Cultivo de secreciones de garganta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13"/>
              </w:numPr>
              <w:ind w:left="144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Antígenos virales en secreciones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Epiglotitis: babeo, disfagia, hiperextensión de cuello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Cuerpo extraño: cuadro súbito de atragantamiento, tos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Traqueítis bacteriana: fiebre alta, tóxico, estridor, SDR, es un compromiso más severo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11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Anillos vasculares: variantes anatómicas vasculares que abrazan la laringe.</w:t>
            </w:r>
          </w:p>
          <w:p w:rsidR="00000000" w:rsidDel="00000000" w:rsidP="00000000" w:rsidRDefault="00000000" w:rsidRPr="00000000" w14:paraId="00000089">
            <w:pPr>
              <w:widowControl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SI ES RECURRENTE REMITA A OTORRINOLARINGOLOGÍA </w:t>
            </w:r>
          </w:p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971550</wp:posOffset>
                  </wp:positionH>
                  <wp:positionV relativeFrom="paragraph">
                    <wp:posOffset>9525</wp:posOffset>
                  </wp:positionV>
                  <wp:extent cx="1447165" cy="1184910"/>
                  <wp:effectExtent b="0" l="0" r="0" t="0"/>
                  <wp:wrapSquare wrapText="bothSides" distB="0" distT="0" distL="114300" distR="11430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44381" l="69178" r="6707" t="203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165" cy="11849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CLASIFICACIÓN AIEPI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3540"/>
              <w:gridCol w:w="4440"/>
              <w:tblGridChange w:id="0">
                <w:tblGrid>
                  <w:gridCol w:w="1890"/>
                  <w:gridCol w:w="3540"/>
                  <w:gridCol w:w="4440"/>
                </w:tblGrid>
              </w:tblGridChange>
            </w:tblGrid>
            <w:tr>
              <w:trPr>
                <w:cantSplit w:val="0"/>
                <w:trHeight w:val="400" w:hRule="atLeast"/>
                <w:tblHeader w:val="0"/>
              </w:trPr>
              <w:tc>
                <w:tcPr>
                  <w:vMerge w:val="restart"/>
                  <w:tcBorders>
                    <w:top w:color="cc0000" w:space="0" w:sz="12" w:val="single"/>
                    <w:left w:color="cc0000" w:space="0" w:sz="12" w:val="single"/>
                    <w:bottom w:color="cc0000" w:space="0" w:sz="12" w:val="single"/>
                    <w:right w:color="cc0000" w:space="0" w:sz="12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CRUP GRAVE </w:t>
                  </w:r>
                </w:p>
              </w:tc>
              <w:tc>
                <w:tcPr>
                  <w:tcBorders>
                    <w:top w:color="cc0000" w:space="0" w:sz="12" w:val="single"/>
                    <w:left w:color="cc0000" w:space="0" w:sz="12" w:val="single"/>
                    <w:bottom w:color="cc0000" w:space="0" w:sz="12" w:val="single"/>
                    <w:right w:color="cc0000" w:space="0" w:sz="12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Estridor asociado a </w:t>
                  </w:r>
                </w:p>
              </w:tc>
              <w:tc>
                <w:tcPr>
                  <w:tcBorders>
                    <w:top w:color="cc0000" w:space="0" w:sz="12" w:val="single"/>
                    <w:left w:color="cc0000" w:space="0" w:sz="12" w:val="single"/>
                    <w:bottom w:color="cc0000" w:space="0" w:sz="12" w:val="single"/>
                    <w:right w:color="cc0000" w:space="0" w:sz="12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Abordaje 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vMerge w:val="continue"/>
                  <w:tcBorders>
                    <w:top w:color="cc0000" w:space="0" w:sz="12" w:val="single"/>
                    <w:left w:color="cc0000" w:space="0" w:sz="12" w:val="single"/>
                    <w:bottom w:color="cc0000" w:space="0" w:sz="12" w:val="single"/>
                    <w:right w:color="cc0000" w:space="0" w:sz="12" w:val="single"/>
                  </w:tcBorders>
                  <w:shd w:fill="f4cc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0000" w:space="0" w:sz="12" w:val="single"/>
                    <w:left w:color="cc0000" w:space="0" w:sz="12" w:val="single"/>
                    <w:bottom w:color="cc0000" w:space="0" w:sz="12" w:val="single"/>
                    <w:right w:color="cc0000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Alteración de conciencia: somnoliento, confuso o agitado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Dificultad respiratoria importante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Baja saturación según la altura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Edad menor a 3 meses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Puntaje de severidad del crup mayor o igual a 9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cc0000" w:space="0" w:sz="12" w:val="single"/>
                    <w:left w:color="cc0000" w:space="0" w:sz="12" w:val="single"/>
                    <w:bottom w:color="cc0000" w:space="0" w:sz="12" w:val="single"/>
                    <w:right w:color="cc0000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Hospitalizar o Referir URGENTEMENTE siguiendo las normas de estabilización y transporte ¨REFIERA¨ </w:t>
                  </w:r>
                </w:p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Administrar oxígeno humidificado para lograr saturación entre 92-96%</w:t>
                  </w:r>
                </w:p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Administrar Dexametasona IM 0,6 mg/kg máximo 10 mg.</w:t>
                  </w:r>
                </w:p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Nebulización con adrenalina (2,5-5 mL de dilución 1:10.000)</w:t>
                  </w:r>
                </w:p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Iniciar líquidos endovenosos y suspender la vía oral</w:t>
                  </w:r>
                </w:p>
                <w:p w:rsidR="00000000" w:rsidDel="00000000" w:rsidP="00000000" w:rsidRDefault="00000000" w:rsidRPr="00000000" w14:paraId="000000A2">
                  <w:pPr>
                    <w:keepNext w:val="0"/>
                    <w:keepLines w:val="0"/>
                    <w:widowControl w:val="0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Trate la fiebre con Acetaminofén</w:t>
                  </w:r>
                </w:p>
              </w:tc>
            </w:tr>
          </w:tbl>
          <w:p w:rsidR="00000000" w:rsidDel="00000000" w:rsidP="00000000" w:rsidRDefault="00000000" w:rsidRPr="00000000" w14:paraId="000000A3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8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80"/>
              <w:gridCol w:w="3495"/>
              <w:gridCol w:w="4410"/>
              <w:tblGridChange w:id="0">
                <w:tblGrid>
                  <w:gridCol w:w="1980"/>
                  <w:gridCol w:w="3495"/>
                  <w:gridCol w:w="4410"/>
                </w:tblGrid>
              </w:tblGridChange>
            </w:tblGrid>
            <w:tr>
              <w:trPr>
                <w:cantSplit w:val="0"/>
                <w:trHeight w:val="400" w:hRule="atLeast"/>
                <w:tblHeader w:val="0"/>
              </w:trPr>
              <w:tc>
                <w:tcPr>
                  <w:vMerge w:val="restart"/>
                  <w:tcBorders>
                    <w:top w:color="f1c232" w:space="0" w:sz="12" w:val="single"/>
                    <w:left w:color="f1c232" w:space="0" w:sz="12" w:val="single"/>
                    <w:bottom w:color="f1c232" w:space="0" w:sz="12" w:val="single"/>
                    <w:right w:color="f1c232" w:space="0" w:sz="12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CRUP MODERADO </w:t>
                  </w:r>
                </w:p>
              </w:tc>
              <w:tc>
                <w:tcPr>
                  <w:tcBorders>
                    <w:top w:color="f1c232" w:space="0" w:sz="12" w:val="single"/>
                    <w:left w:color="f1c232" w:space="0" w:sz="12" w:val="single"/>
                    <w:bottom w:color="f1c232" w:space="0" w:sz="12" w:val="single"/>
                    <w:right w:color="f1c232" w:space="0" w:sz="12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Estridor agudo y </w:t>
                  </w:r>
                </w:p>
              </w:tc>
              <w:tc>
                <w:tcPr>
                  <w:tcBorders>
                    <w:top w:color="f1c232" w:space="0" w:sz="12" w:val="single"/>
                    <w:left w:color="f1c232" w:space="0" w:sz="12" w:val="single"/>
                    <w:bottom w:color="f1c232" w:space="0" w:sz="12" w:val="single"/>
                    <w:right w:color="f1c232" w:space="0" w:sz="12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Abordaje </w:t>
                  </w:r>
                </w:p>
              </w:tc>
            </w:tr>
            <w:tr>
              <w:trPr>
                <w:cantSplit w:val="0"/>
                <w:trHeight w:val="400" w:hRule="atLeast"/>
                <w:tblHeader w:val="0"/>
              </w:trPr>
              <w:tc>
                <w:tcPr>
                  <w:vMerge w:val="continue"/>
                  <w:tcBorders>
                    <w:top w:color="f1c232" w:space="0" w:sz="12" w:val="single"/>
                    <w:left w:color="f1c232" w:space="0" w:sz="12" w:val="single"/>
                    <w:bottom w:color="f1c232" w:space="0" w:sz="12" w:val="single"/>
                    <w:right w:color="f1c232" w:space="0" w:sz="12" w:val="single"/>
                  </w:tcBorders>
                  <w:shd w:fill="fff2cc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1c232" w:space="0" w:sz="12" w:val="single"/>
                    <w:left w:color="f1c232" w:space="0" w:sz="12" w:val="single"/>
                    <w:bottom w:color="f1c232" w:space="0" w:sz="12" w:val="single"/>
                    <w:right w:color="f1c232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Estridor en reposo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Retracciones leves</w:t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Saturación de oxígeno al aire ambiental normal</w:t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widowControl w:val="0"/>
                    <w:numPr>
                      <w:ilvl w:val="0"/>
                      <w:numId w:val="5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Puntaje de severidad del Crup 5-8</w:t>
                  </w:r>
                </w:p>
              </w:tc>
              <w:tc>
                <w:tcPr>
                  <w:tcBorders>
                    <w:top w:color="f1c232" w:space="0" w:sz="12" w:val="single"/>
                    <w:left w:color="f1c232" w:space="0" w:sz="12" w:val="single"/>
                    <w:bottom w:color="f1c232" w:space="0" w:sz="12" w:val="single"/>
                    <w:right w:color="f1c232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Manejo en sala ERA o sala de observación</w:t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Administrar una dosis de dexametasona 0,6 mg/kg IM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Realizar nebulización con adrenalina</w:t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Observar 4 a 6 horas y volver a clasificar severidad</w:t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widowControl w:val="0"/>
                    <w:numPr>
                      <w:ilvl w:val="0"/>
                      <w:numId w:val="9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Trate la fiebre con Acetaminofén</w:t>
                  </w:r>
                </w:p>
              </w:tc>
            </w:tr>
          </w:tbl>
          <w:p w:rsidR="00000000" w:rsidDel="00000000" w:rsidP="00000000" w:rsidRDefault="00000000" w:rsidRPr="00000000" w14:paraId="000000B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8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025"/>
              <w:gridCol w:w="3495"/>
              <w:gridCol w:w="4350"/>
              <w:tblGridChange w:id="0">
                <w:tblGrid>
                  <w:gridCol w:w="2025"/>
                  <w:gridCol w:w="3495"/>
                  <w:gridCol w:w="4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Merge w:val="restart"/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7">
                  <w:pPr>
                    <w:widowControl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8">
                  <w:pPr>
                    <w:widowControl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A">
                  <w:pPr>
                    <w:widowControl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CRUP LEVE </w:t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Estridor agudo y todos de los siguientes</w:t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Abordaje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Merge w:val="continue"/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  <w:shd w:fill="d9ead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cumple criterios para clasificarse en las anteriores</w:t>
                  </w:r>
                </w:p>
                <w:p w:rsidR="00000000" w:rsidDel="00000000" w:rsidP="00000000" w:rsidRDefault="00000000" w:rsidRPr="00000000" w14:paraId="000000BF">
                  <w:pPr>
                    <w:widowControl w:val="0"/>
                    <w:numPr>
                      <w:ilvl w:val="0"/>
                      <w:numId w:val="5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Puntaje de severidad del crup &lt;5</w:t>
                  </w:r>
                </w:p>
                <w:p w:rsidR="00000000" w:rsidDel="00000000" w:rsidP="00000000" w:rsidRDefault="00000000" w:rsidRPr="00000000" w14:paraId="000000C0">
                  <w:pPr>
                    <w:widowControl w:val="0"/>
                    <w:ind w:lef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numPr>
                      <w:ilvl w:val="0"/>
                      <w:numId w:val="9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Administrar dosis de dexametasona 0,6 mg/kg IM </w:t>
                  </w:r>
                </w:p>
                <w:p w:rsidR="00000000" w:rsidDel="00000000" w:rsidP="00000000" w:rsidRDefault="00000000" w:rsidRPr="00000000" w14:paraId="000000C2">
                  <w:pPr>
                    <w:widowControl w:val="0"/>
                    <w:numPr>
                      <w:ilvl w:val="0"/>
                      <w:numId w:val="9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Tratar la fiebre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numPr>
                      <w:ilvl w:val="0"/>
                      <w:numId w:val="9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Aliviar los síntomas (obstrucción nasal, tos) con aseo nasal y bebidas endulzadas</w:t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numPr>
                      <w:ilvl w:val="0"/>
                      <w:numId w:val="9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Enseñar a la madre a cuidar el niño en casa</w:t>
                  </w:r>
                </w:p>
                <w:p w:rsidR="00000000" w:rsidDel="00000000" w:rsidP="00000000" w:rsidRDefault="00000000" w:rsidRPr="00000000" w14:paraId="000000C5">
                  <w:pPr>
                    <w:widowControl w:val="0"/>
                    <w:numPr>
                      <w:ilvl w:val="0"/>
                      <w:numId w:val="9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Enseñar a la madre los signos de alarma para regresar de inmediato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numPr>
                      <w:ilvl w:val="0"/>
                      <w:numId w:val="9"/>
                    </w:numPr>
                    <w:ind w:left="72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 no mejora, consulta de seguimiento dos días después </w:t>
                  </w:r>
                </w:p>
              </w:tc>
            </w:tr>
          </w:tbl>
          <w:p w:rsidR="00000000" w:rsidDel="00000000" w:rsidP="00000000" w:rsidRDefault="00000000" w:rsidRPr="00000000" w14:paraId="000000C7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TRATAMIENTO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1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trata según la gravedad, se debe mantener hidratación y permeabilidad via aérea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14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Medidas generales: </w:t>
            </w:r>
          </w:p>
          <w:p w:rsidR="00000000" w:rsidDel="00000000" w:rsidP="00000000" w:rsidRDefault="00000000" w:rsidRPr="00000000" w14:paraId="000000CD">
            <w:pPr>
              <w:numPr>
                <w:ilvl w:val="1"/>
                <w:numId w:val="14"/>
              </w:numPr>
              <w:spacing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Permitirle tomar la posición más cómoda</w:t>
            </w:r>
          </w:p>
          <w:p w:rsidR="00000000" w:rsidDel="00000000" w:rsidP="00000000" w:rsidRDefault="00000000" w:rsidRPr="00000000" w14:paraId="000000CE">
            <w:pPr>
              <w:numPr>
                <w:ilvl w:val="1"/>
                <w:numId w:val="14"/>
              </w:numPr>
              <w:spacing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Permitir compañía de los padres</w:t>
            </w:r>
          </w:p>
          <w:p w:rsidR="00000000" w:rsidDel="00000000" w:rsidP="00000000" w:rsidRDefault="00000000" w:rsidRPr="00000000" w14:paraId="000000CF">
            <w:pPr>
              <w:numPr>
                <w:ilvl w:val="1"/>
                <w:numId w:val="14"/>
              </w:numPr>
              <w:spacing w:line="276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Oxígeno húmedo, si lo requiere (saturación menos de 90%)</w:t>
            </w:r>
          </w:p>
          <w:p w:rsidR="00000000" w:rsidDel="00000000" w:rsidP="00000000" w:rsidRDefault="00000000" w:rsidRPr="00000000" w14:paraId="000000D0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CORTICOIDES: </w:t>
            </w:r>
            <w:r w:rsidDel="00000000" w:rsidR="00000000" w:rsidRPr="00000000">
              <w:rPr>
                <w:rtl w:val="0"/>
              </w:rPr>
              <w:t xml:space="preserve">Son los más útiles independiente de la gravedad, disminuyen el edema y reingreso 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8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Dexametasona es el más usado , la mayoría requiere una sola dosis, su uso disminuye el requerimiento de adrenalina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 es más efectiva, IV para casos severos e intolerancia VO 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0"/>
                <w:numId w:val="8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puede sustituir con Budesonida inhalado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ADRENALINA NEBULIZADA: </w:t>
            </w:r>
            <w:r w:rsidDel="00000000" w:rsidR="00000000" w:rsidRPr="00000000">
              <w:rPr>
                <w:rtl w:val="0"/>
              </w:rPr>
              <w:t xml:space="preserve">Relaja el músculo y hace vasoconstricción del epitelio respiratorio 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Pico de acción a los 30 min dura 2 horas, por lo tanto se debe observar al paciente por 4h posteriores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6"/>
              </w:numPr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cuenta con L/adrenalina o epinefrina 1:1000 (ampolla de 1mg=1ml).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8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2430"/>
              <w:gridCol w:w="2955"/>
              <w:gridCol w:w="2550"/>
              <w:tblGridChange w:id="0">
                <w:tblGrid>
                  <w:gridCol w:w="1890"/>
                  <w:gridCol w:w="2430"/>
                  <w:gridCol w:w="2955"/>
                  <w:gridCol w:w="25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D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  <w:shd w:fill="d9ead3" w:val="clear"/>
                </w:tcPr>
                <w:p w:rsidR="00000000" w:rsidDel="00000000" w:rsidP="00000000" w:rsidRDefault="00000000" w:rsidRPr="00000000" w14:paraId="000000D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Leve</w:t>
                  </w:r>
                </w:p>
              </w:tc>
              <w:tc>
                <w:tcPr>
                  <w:tcBorders>
                    <w:top w:color="f1c232" w:space="0" w:sz="12" w:val="single"/>
                    <w:left w:color="38761d" w:space="0" w:sz="12" w:val="single"/>
                    <w:bottom w:color="f1c232" w:space="0" w:sz="12" w:val="single"/>
                    <w:right w:color="f1c232" w:space="0" w:sz="12" w:val="single"/>
                  </w:tcBorders>
                  <w:shd w:fill="fce5cd" w:val="clear"/>
                </w:tcPr>
                <w:p w:rsidR="00000000" w:rsidDel="00000000" w:rsidP="00000000" w:rsidRDefault="00000000" w:rsidRPr="00000000" w14:paraId="000000D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Moderado</w:t>
                  </w:r>
                </w:p>
              </w:tc>
              <w:tc>
                <w:tcPr>
                  <w:tcBorders>
                    <w:top w:color="cc0000" w:space="0" w:sz="12" w:val="single"/>
                    <w:left w:color="f1c232" w:space="0" w:sz="12" w:val="single"/>
                    <w:bottom w:color="cc0000" w:space="0" w:sz="12" w:val="single"/>
                    <w:right w:color="cc0000" w:space="0" w:sz="12" w:val="single"/>
                  </w:tcBorders>
                  <w:shd w:fill="f4cccc" w:val="clear"/>
                </w:tcPr>
                <w:p w:rsidR="00000000" w:rsidDel="00000000" w:rsidP="00000000" w:rsidRDefault="00000000" w:rsidRPr="00000000" w14:paraId="000000D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Severo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Oxígeno</w:t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>
                  <w:tcBorders>
                    <w:top w:color="f1c232" w:space="0" w:sz="12" w:val="single"/>
                    <w:left w:color="38761d" w:space="0" w:sz="12" w:val="single"/>
                    <w:bottom w:color="f1c232" w:space="0" w:sz="12" w:val="single"/>
                    <w:right w:color="f1c232" w:space="0" w:sz="12" w:val="single"/>
                  </w:tcBorders>
                </w:tcPr>
                <w:p w:rsidR="00000000" w:rsidDel="00000000" w:rsidP="00000000" w:rsidRDefault="00000000" w:rsidRPr="00000000" w14:paraId="000000E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Si SatO2 &lt;92%</w:t>
                  </w:r>
                </w:p>
              </w:tc>
              <w:tc>
                <w:tcPr>
                  <w:tcBorders>
                    <w:top w:color="cc0000" w:space="0" w:sz="12" w:val="single"/>
                    <w:left w:color="f1c232" w:space="0" w:sz="12" w:val="single"/>
                    <w:bottom w:color="cc0000" w:space="0" w:sz="12" w:val="single"/>
                    <w:right w:color="cc0000" w:space="0" w:sz="12" w:val="single"/>
                  </w:tcBorders>
                </w:tcPr>
                <w:p w:rsidR="00000000" w:rsidDel="00000000" w:rsidP="00000000" w:rsidRDefault="00000000" w:rsidRPr="00000000" w14:paraId="000000E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 100% humidificado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Adrenalina nebulizada (1:100) 1 mg=1 ml*</w:t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necesaria</w:t>
                  </w:r>
                </w:p>
              </w:tc>
              <w:tc>
                <w:tcPr>
                  <w:tcBorders>
                    <w:top w:color="f1c232" w:space="0" w:sz="12" w:val="single"/>
                    <w:left w:color="38761d" w:space="0" w:sz="12" w:val="single"/>
                    <w:bottom w:color="f1c232" w:space="0" w:sz="12" w:val="single"/>
                    <w:right w:color="f1c232" w:space="0" w:sz="12" w:val="single"/>
                  </w:tcBorders>
                </w:tcPr>
                <w:p w:rsidR="00000000" w:rsidDel="00000000" w:rsidP="00000000" w:rsidRDefault="00000000" w:rsidRPr="00000000" w14:paraId="000000E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0,5 mg/kg nebulizada c/hora por 2 veces disuelta en 3 ml salino (máx. 5 mg o 5 ml)</w:t>
                  </w:r>
                </w:p>
              </w:tc>
              <w:tc>
                <w:tcPr>
                  <w:tcBorders>
                    <w:top w:color="cc0000" w:space="0" w:sz="12" w:val="single"/>
                    <w:left w:color="f1c232" w:space="0" w:sz="12" w:val="single"/>
                    <w:bottom w:color="cc0000" w:space="0" w:sz="12" w:val="single"/>
                    <w:right w:color="cc0000" w:space="0" w:sz="12" w:val="single"/>
                  </w:tcBorders>
                </w:tcPr>
                <w:p w:rsidR="00000000" w:rsidDel="00000000" w:rsidP="00000000" w:rsidRDefault="00000000" w:rsidRPr="00000000" w14:paraId="000000E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0,5 mg/kg nebulizada c/hora por 3 veces (máx. 5 mg o 5 ml)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8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Dexametasona*</w:t>
                  </w:r>
                </w:p>
                <w:p w:rsidR="00000000" w:rsidDel="00000000" w:rsidP="00000000" w:rsidRDefault="00000000" w:rsidRPr="00000000" w14:paraId="000000E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puede usar budesonida nebulizada de a 4 mg. </w:t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0,3 a 0,6 mg/kg VO dosis única</w:t>
                  </w:r>
                </w:p>
              </w:tc>
              <w:tc>
                <w:tcPr>
                  <w:tcBorders>
                    <w:top w:color="f1c232" w:space="0" w:sz="12" w:val="single"/>
                    <w:left w:color="38761d" w:space="0" w:sz="12" w:val="single"/>
                    <w:bottom w:color="f1c232" w:space="0" w:sz="12" w:val="single"/>
                    <w:right w:color="f1c232" w:space="0" w:sz="12" w:val="single"/>
                  </w:tcBorders>
                </w:tcPr>
                <w:p w:rsidR="00000000" w:rsidDel="00000000" w:rsidP="00000000" w:rsidRDefault="00000000" w:rsidRPr="00000000" w14:paraId="000000E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0,6 mg/kg VO o parenteral, dosis única</w:t>
                  </w:r>
                </w:p>
              </w:tc>
              <w:tc>
                <w:tcPr>
                  <w:tcBorders>
                    <w:top w:color="cc0000" w:space="0" w:sz="12" w:val="single"/>
                    <w:left w:color="f1c232" w:space="0" w:sz="12" w:val="single"/>
                    <w:bottom w:color="cc0000" w:space="0" w:sz="12" w:val="single"/>
                    <w:right w:color="cc0000" w:space="0" w:sz="12" w:val="single"/>
                  </w:tcBorders>
                </w:tcPr>
                <w:p w:rsidR="00000000" w:rsidDel="00000000" w:rsidP="00000000" w:rsidRDefault="00000000" w:rsidRPr="00000000" w14:paraId="000000E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0,6 mg/kg IV dosis inicial y luego 0,15 mg/kg cada 6 – 12 horas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E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Seguimiento</w:t>
                  </w:r>
                </w:p>
              </w:tc>
              <w:tc>
                <w:tcPr>
                  <w:tcBorders>
                    <w:top w:color="38761d" w:space="0" w:sz="12" w:val="single"/>
                    <w:left w:color="38761d" w:space="0" w:sz="12" w:val="single"/>
                    <w:bottom w:color="38761d" w:space="0" w:sz="12" w:val="single"/>
                    <w:right w:color="38761d" w:space="0" w:sz="12" w:val="single"/>
                  </w:tcBorders>
                </w:tcPr>
                <w:p w:rsidR="00000000" w:rsidDel="00000000" w:rsidP="00000000" w:rsidRDefault="00000000" w:rsidRPr="00000000" w14:paraId="000000E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requiere observación en urgencias. </w:t>
                  </w:r>
                </w:p>
                <w:p w:rsidR="00000000" w:rsidDel="00000000" w:rsidP="00000000" w:rsidRDefault="00000000" w:rsidRPr="00000000" w14:paraId="000000F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 puede dar de alta con instrucciones</w:t>
                  </w:r>
                </w:p>
              </w:tc>
              <w:tc>
                <w:tcPr>
                  <w:tcBorders>
                    <w:top w:color="f1c232" w:space="0" w:sz="12" w:val="single"/>
                    <w:left w:color="38761d" w:space="0" w:sz="12" w:val="single"/>
                    <w:bottom w:color="f1c232" w:space="0" w:sz="12" w:val="single"/>
                    <w:right w:color="f1c232" w:space="0" w:sz="12" w:val="single"/>
                  </w:tcBorders>
                </w:tcPr>
                <w:p w:rsidR="00000000" w:rsidDel="00000000" w:rsidP="00000000" w:rsidRDefault="00000000" w:rsidRPr="00000000" w14:paraId="000000F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Reevaluar a las 3 horas. </w:t>
                  </w:r>
                </w:p>
                <w:p w:rsidR="00000000" w:rsidDel="00000000" w:rsidP="00000000" w:rsidRDefault="00000000" w:rsidRPr="00000000" w14:paraId="000000F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Puntaje de seguimiento &lt;4 se da alta, de 4 a 7, hospitalizar y continuar adrenalina cada 4 a 6 horas, &gt;7 ingreso a UCIP.</w:t>
                  </w:r>
                </w:p>
              </w:tc>
              <w:tc>
                <w:tcPr>
                  <w:tcBorders>
                    <w:top w:color="cc0000" w:space="0" w:sz="12" w:val="single"/>
                    <w:left w:color="f1c232" w:space="0" w:sz="12" w:val="single"/>
                    <w:bottom w:color="cc0000" w:space="0" w:sz="12" w:val="single"/>
                    <w:right w:color="cc0000" w:space="0" w:sz="12" w:val="single"/>
                  </w:tcBorders>
                </w:tcPr>
                <w:p w:rsidR="00000000" w:rsidDel="00000000" w:rsidP="00000000" w:rsidRDefault="00000000" w:rsidRPr="00000000" w14:paraId="000000F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Puntaje de seguimiento &gt;7 de ingreso a UCIP a &lt;7, continúa manejo como crup moderado.</w:t>
                  </w:r>
                </w:p>
              </w:tc>
            </w:tr>
          </w:tbl>
          <w:p w:rsidR="00000000" w:rsidDel="00000000" w:rsidP="00000000" w:rsidRDefault="00000000" w:rsidRPr="00000000" w14:paraId="000000F5">
            <w:pPr>
              <w:widowControl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55"/>
        <w:tblGridChange w:id="0">
          <w:tblGrid>
            <w:gridCol w:w="10155"/>
          </w:tblGrid>
        </w:tblGridChange>
      </w:tblGrid>
      <w:tr>
        <w:trPr>
          <w:cantSplit w:val="0"/>
          <w:tblHeader w:val="0"/>
        </w:trPr>
        <w:tc>
          <w:tcPr>
            <w:shd w:fill="36e4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SALIDA Y SEGUIMIENTO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8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355"/>
              <w:gridCol w:w="2355"/>
              <w:gridCol w:w="2355"/>
              <w:gridCol w:w="2790"/>
              <w:tblGridChange w:id="0">
                <w:tblGrid>
                  <w:gridCol w:w="2355"/>
                  <w:gridCol w:w="2355"/>
                  <w:gridCol w:w="2355"/>
                  <w:gridCol w:w="279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</w:tcPr>
                <w:p w:rsidR="00000000" w:rsidDel="00000000" w:rsidP="00000000" w:rsidRDefault="00000000" w:rsidRPr="00000000" w14:paraId="00000103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Manejo del crup según severidad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7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Síntoma</w:t>
                  </w:r>
                </w:p>
              </w:tc>
              <w:tc>
                <w:tcPr/>
                <w:p w:rsidR="00000000" w:rsidDel="00000000" w:rsidP="00000000" w:rsidRDefault="00000000" w:rsidRPr="00000000" w14:paraId="00000108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0</w:t>
                  </w:r>
                </w:p>
              </w:tc>
              <w:tc>
                <w:tcPr/>
                <w:p w:rsidR="00000000" w:rsidDel="00000000" w:rsidP="00000000" w:rsidRDefault="00000000" w:rsidRPr="00000000" w14:paraId="00000109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10A">
                  <w:pPr>
                    <w:jc w:val="center"/>
                    <w:rPr>
                      <w:b w:val="1"/>
                      <w:color w:val="4f81bd"/>
                    </w:rPr>
                  </w:pPr>
                  <w:r w:rsidDel="00000000" w:rsidR="00000000" w:rsidRPr="00000000">
                    <w:rPr>
                      <w:b w:val="1"/>
                      <w:color w:val="4f81bd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Estridor</w:t>
                  </w:r>
                </w:p>
              </w:tc>
              <w:tc>
                <w:tcPr/>
                <w:p w:rsidR="00000000" w:rsidDel="00000000" w:rsidP="00000000" w:rsidRDefault="00000000" w:rsidRPr="00000000" w14:paraId="000001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Inspiratorio</w:t>
                  </w:r>
                </w:p>
              </w:tc>
              <w:tc>
                <w:tcPr/>
                <w:p w:rsidR="00000000" w:rsidDel="00000000" w:rsidP="00000000" w:rsidRDefault="00000000" w:rsidRPr="00000000" w14:paraId="000001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Inspiratorio y espiratorio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0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Tos</w:t>
                  </w:r>
                </w:p>
              </w:tc>
              <w:tc>
                <w:tcPr/>
                <w:p w:rsidR="00000000" w:rsidDel="00000000" w:rsidP="00000000" w:rsidRDefault="00000000" w:rsidRPr="00000000" w14:paraId="0000011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Ronca</w:t>
                  </w:r>
                </w:p>
              </w:tc>
              <w:tc>
                <w:tcPr/>
                <w:p w:rsidR="00000000" w:rsidDel="00000000" w:rsidP="00000000" w:rsidRDefault="00000000" w:rsidRPr="00000000" w14:paraId="000001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Perruna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Entrada de aire</w:t>
                  </w:r>
                </w:p>
              </w:tc>
              <w:tc>
                <w:tcPr/>
                <w:p w:rsidR="00000000" w:rsidDel="00000000" w:rsidP="00000000" w:rsidRDefault="00000000" w:rsidRPr="00000000" w14:paraId="000001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Disminuida</w:t>
                  </w:r>
                </w:p>
              </w:tc>
              <w:tc>
                <w:tcPr/>
                <w:p w:rsidR="00000000" w:rsidDel="00000000" w:rsidP="00000000" w:rsidRDefault="00000000" w:rsidRPr="00000000" w14:paraId="000001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Muy disminuida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Aleteo nasal - retracciones</w:t>
                  </w:r>
                </w:p>
              </w:tc>
              <w:tc>
                <w:tcPr/>
                <w:p w:rsidR="00000000" w:rsidDel="00000000" w:rsidP="00000000" w:rsidRDefault="00000000" w:rsidRPr="00000000" w14:paraId="000001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</w:t>
                  </w:r>
                </w:p>
              </w:tc>
              <w:tc>
                <w:tcPr/>
                <w:p w:rsidR="00000000" w:rsidDel="00000000" w:rsidP="00000000" w:rsidRDefault="00000000" w:rsidRPr="00000000" w14:paraId="000001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Aleteo y retracción supraesternal</w:t>
                  </w:r>
                </w:p>
              </w:tc>
              <w:tc>
                <w:tcPr/>
                <w:p w:rsidR="00000000" w:rsidDel="00000000" w:rsidP="00000000" w:rsidRDefault="00000000" w:rsidRPr="00000000" w14:paraId="000001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Aleteo más retracciones supra, sub e intercostal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11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Color</w:t>
                  </w:r>
                </w:p>
              </w:tc>
              <w:tc>
                <w:tcPr/>
                <w:p w:rsidR="00000000" w:rsidDel="00000000" w:rsidP="00000000" w:rsidRDefault="00000000" w:rsidRPr="00000000" w14:paraId="000001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Normal</w:t>
                  </w:r>
                </w:p>
              </w:tc>
              <w:tc>
                <w:tcPr/>
                <w:p w:rsidR="00000000" w:rsidDel="00000000" w:rsidP="00000000" w:rsidRDefault="00000000" w:rsidRPr="00000000" w14:paraId="000001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Cianosis con FiO2 al 21%</w:t>
                  </w:r>
                </w:p>
              </w:tc>
              <w:tc>
                <w:tcPr/>
                <w:p w:rsidR="00000000" w:rsidDel="00000000" w:rsidP="00000000" w:rsidRDefault="00000000" w:rsidRPr="00000000" w14:paraId="000001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Cianosis con Fi02 al 40%</w:t>
                  </w:r>
                </w:p>
              </w:tc>
            </w:tr>
          </w:tbl>
          <w:p w:rsidR="00000000" w:rsidDel="00000000" w:rsidP="00000000" w:rsidRDefault="00000000" w:rsidRPr="00000000" w14:paraId="0000011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 recomienda dar alta al paciente con crup luego de realizar el tratamiento y observar por tres a cuatro horas para evitar el fenómeno de rebote y que cumpla los siguientes requisitos: 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Puntaje de seguimiento de 4 o menos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No tener estridor en reposo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Adecuada tolerancia a la vía oral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Saturación de oxígeno mayor de 93% con FiO2 al 21%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numPr>
                <w:ilvl w:val="0"/>
                <w:numId w:val="15"/>
              </w:numPr>
              <w:spacing w:line="276" w:lineRule="auto"/>
              <w:ind w:left="720" w:hanging="360"/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  <w:t xml:space="preserve">Tener familia adecuada y estar cerca de un servicio de urgencias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566.9291338582677" w:top="566.9291338582677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icksand">
    <w:embedRegular w:fontKey="{00000000-0000-0000-0000-000000000000}" r:id="rId5" w:subsetted="0"/>
    <w:embedBold w:fontKey="{00000000-0000-0000-0000-000000000000}" r:id="rId6" w:subsetted="0"/>
  </w:font>
  <w:font w:name="Charmonman">
    <w:embedRegular w:fontKey="{00000000-0000-0000-0000-000000000000}" r:id="rId7" w:subsetted="0"/>
    <w:embedBold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  <w:font w:name="Calistoga">
    <w:embedRegular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28">
    <w:pPr>
      <w:jc w:val="right"/>
      <w:rPr>
        <w:rFonts w:ascii="Quicksand" w:cs="Quicksand" w:eastAsia="Quicksand" w:hAnsi="Quicksand"/>
        <w:b w:val="1"/>
        <w:i w:val="1"/>
        <w:sz w:val="16"/>
        <w:szCs w:val="16"/>
      </w:rPr>
    </w:pPr>
    <w:r w:rsidDel="00000000" w:rsidR="00000000" w:rsidRPr="00000000">
      <w:rPr>
        <w:rFonts w:ascii="Quicksand" w:cs="Quicksand" w:eastAsia="Quicksand" w:hAnsi="Quicksand"/>
        <w:b w:val="1"/>
        <w:i w:val="1"/>
        <w:sz w:val="16"/>
        <w:szCs w:val="16"/>
        <w:rtl w:val="0"/>
      </w:rPr>
      <w:t xml:space="preserve">Mauren Thilisay </w:t>
    </w:r>
  </w:p>
  <w:p w:rsidR="00000000" w:rsidDel="00000000" w:rsidP="00000000" w:rsidRDefault="00000000" w:rsidRPr="00000000" w14:paraId="00000129">
    <w:pPr>
      <w:jc w:val="right"/>
      <w:rPr/>
    </w:pPr>
    <w:r w:rsidDel="00000000" w:rsidR="00000000" w:rsidRPr="00000000">
      <w:rPr>
        <w:rFonts w:ascii="Quicksand" w:cs="Quicksand" w:eastAsia="Quicksand" w:hAnsi="Quicksand"/>
        <w:b w:val="1"/>
        <w:i w:val="1"/>
        <w:sz w:val="16"/>
        <w:szCs w:val="16"/>
        <w:rtl w:val="0"/>
      </w:rPr>
      <w:t xml:space="preserve">01.04.2024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Quicksand" w:cs="Quicksand" w:eastAsia="Quicksand" w:hAnsi="Quicksand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jc w:val="left"/>
    </w:pPr>
    <w:rPr>
      <w:b w:val="1"/>
      <w:color w:val="0000ff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line="276" w:lineRule="auto"/>
    </w:pPr>
    <w:rPr>
      <w:b w:val="1"/>
      <w:shd w:fill="d9ead3" w:val="clear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a06cf6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b w:val="1"/>
      <w:color w:val="0000ff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b w:val="1"/>
      <w:shd w:fill="fff2cc" w:val="clear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76" w:lineRule="auto"/>
      <w:jc w:val="center"/>
    </w:pPr>
    <w:rPr>
      <w:rFonts w:ascii="Calistoga" w:cs="Calistoga" w:eastAsia="Calistoga" w:hAnsi="Calistoga"/>
      <w:b w:val="1"/>
      <w:color w:val="ff0000"/>
      <w:sz w:val="34"/>
      <w:szCs w:val="3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color w:val="adcfff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b w:val="1"/>
      <w:color w:val="ff9900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c98ee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Satisfy" w:cs="Satisfy" w:eastAsia="Satisfy" w:hAnsi="Satisfy"/>
      <w:b w:val="1"/>
      <w:color w:val="fa26a0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caffe6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jc w:val="left"/>
    </w:pPr>
    <w:rPr>
      <w:rFonts w:ascii="Charmonman" w:cs="Charmonman" w:eastAsia="Charmonman" w:hAnsi="Charmonman"/>
      <w:sz w:val="26"/>
      <w:szCs w:val="26"/>
      <w:u w:val="singl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Calistoga-regular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Quicksand-regular.ttf"/><Relationship Id="rId6" Type="http://schemas.openxmlformats.org/officeDocument/2006/relationships/font" Target="fonts/Quicksand-bold.ttf"/><Relationship Id="rId7" Type="http://schemas.openxmlformats.org/officeDocument/2006/relationships/font" Target="fonts/Charmonman-regular.ttf"/><Relationship Id="rId8" Type="http://schemas.openxmlformats.org/officeDocument/2006/relationships/font" Target="fonts/Charmonma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pzmegnm8ItyMYFBwEY9Af9DJxA==">CgMxLjAyDmguNm14ZGcxZWVsOG1lOAByITFBSE5fYTRaTEVQVjRWdTBuRG0wMTZLdFN1dzIzZE1nTA==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