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t320ri99x8u7" w:id="0"/>
      <w:bookmarkEnd w:id="0"/>
      <w:r w:rsidDel="00000000" w:rsidR="00000000" w:rsidRPr="00000000">
        <w:rPr>
          <w:rtl w:val="0"/>
        </w:rPr>
        <w:t xml:space="preserve">SINUSITIS </w:t>
      </w:r>
    </w:p>
    <w:tbl>
      <w:tblPr>
        <w:tblStyle w:val="Table1"/>
        <w:tblW w:w="99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gridCol w:w="5175"/>
        <w:tblGridChange w:id="0">
          <w:tblGrid>
            <w:gridCol w:w="4815"/>
            <w:gridCol w:w="5175"/>
          </w:tblGrid>
        </w:tblGridChange>
      </w:tblGrid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 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EPIDEMIOLOGÍA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Inflamación de la mucosa de los senos paranasales. (Epitelio columnar pseudoestratificado).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diferencia entre resfriado comun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 al 9 % de las infecciones respiratorias superiores se complican con sinusitis.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Más frecuente entre l</w:t>
            </w:r>
            <w:r w:rsidDel="00000000" w:rsidR="00000000" w:rsidRPr="00000000">
              <w:rPr>
                <w:b w:val="1"/>
                <w:rtl w:val="0"/>
              </w:rPr>
              <w:t xml:space="preserve">os 4 a 6 años de edad.</w:t>
            </w:r>
            <w:r w:rsidDel="00000000" w:rsidR="00000000" w:rsidRPr="00000000">
              <w:rPr>
                <w:rtl w:val="0"/>
              </w:rPr>
              <w:t xml:space="preserve"> En el niño más pequeño los ostium de drenaje son relativamente más amplios y las IRS se acompaña más con O.M.A, por lo que al recibir tratamiento antibiótico se previene la sinusitis.</w:t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FACTORES DE RIESGO 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ETIOLOGÍA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Asistencia a guardería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Rinitis alérgica: por inflamacion cronica de la mucosa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Exposición al humo de tabaco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Malformaciones anatómicas (Labio y paladar hendido)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ERGE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Cuerpos extraños nasales: lateralidad ojo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Pólipos nasales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Tumores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Fibrosis quística: Mal funcionamiento de glándulas exocrinas (respiratorios y páncreas)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Alérgenos, irritantes ambientales, infecciones: viral, bacteriana, micótica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b w:val="1"/>
                <w:shd w:fill="adcfff" w:val="clear"/>
                <w:rtl w:val="0"/>
              </w:rPr>
              <w:t xml:space="preserve">Viral: Del 90 al 98% de los casos: </w:t>
            </w:r>
            <w:r w:rsidDel="00000000" w:rsidR="00000000" w:rsidRPr="00000000">
              <w:rPr>
                <w:rtl w:val="0"/>
              </w:rPr>
              <w:t xml:space="preserve">rinovirus, adenovirus, influenza. Resuelven sin tratamiento en 7 – 10 días.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Bacteriana:</w:t>
            </w:r>
            <w:r w:rsidDel="00000000" w:rsidR="00000000" w:rsidRPr="00000000">
              <w:rPr>
                <w:rtl w:val="0"/>
              </w:rPr>
              <w:t xml:space="preserve"> Haemophilus Influenzae, Streptococcus pneumoniae, Moraxella Catarrhalis.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Haemophilus Influenzae y la Moraxella Catarrhalis pueden producir betalactamasa y ser resistente a la penicilina y sus derivados.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Streptococcus pneumoniae presenta resistencia a la penicilina entre el 25 y el 50%.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ANATOMÍA Y CONCEPTOS BÁSICOS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Senos paranasales: se forman de evaginaciones de la cavidad nasal.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4149477</wp:posOffset>
                  </wp:positionH>
                  <wp:positionV relativeFrom="paragraph">
                    <wp:posOffset>28575</wp:posOffset>
                  </wp:positionV>
                  <wp:extent cx="2060822" cy="1545617"/>
                  <wp:effectExtent b="0" l="0" r="0" t="0"/>
                  <wp:wrapSquare wrapText="bothSides" distB="0" distT="0" distL="0" distR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822" cy="15456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SON COMPLETAMENTE ESTERILES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hd w:fill="adcfff" w:val="clear"/>
              </w:rPr>
            </w:pPr>
            <w:r w:rsidDel="00000000" w:rsidR="00000000" w:rsidRPr="00000000">
              <w:rPr>
                <w:b w:val="1"/>
                <w:shd w:fill="adcfff" w:val="clear"/>
                <w:rtl w:val="0"/>
              </w:rPr>
              <w:t xml:space="preserve">FX DE LOS SENOS PARANASALES: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Resonancia de la voz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caso de traumas, funcionan como mecanismo protector, permite que el impacto a nivel del cráneo no sea tan fuerte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Sostén del cráneo junto con los huesos cervicales, permiten que el cráneo pese menos.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Ayuda  con la olfación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Sin senoso paranales permiten controlar cambios de presión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Son 7, tienen diferencias en el tiempo de aparición y desarrollo (Neumatización)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 Maxilares: </w:t>
            </w:r>
            <w:r w:rsidDel="00000000" w:rsidR="00000000" w:rsidRPr="00000000">
              <w:rPr>
                <w:shd w:fill="fff2cc" w:val="clear"/>
                <w:rtl w:val="0"/>
              </w:rPr>
              <w:t xml:space="preserve">Están desde RN</w:t>
            </w:r>
            <w:r w:rsidDel="00000000" w:rsidR="00000000" w:rsidRPr="00000000">
              <w:rPr>
                <w:rtl w:val="0"/>
              </w:rPr>
              <w:t xml:space="preserve">; neumatización alrededor de los 4 años; su drenaje requiere actividad ciliar porque su ostia de drenaje en la nariz se encuentra alto en la pared media del seno maxilar.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Ellos tienen contra gravedad  para hacer el drenaje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Aparecen 3 mes de gstacionn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 Etmoidales: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hd w:fill="fff2cc" w:val="clear"/>
                <w:rtl w:val="0"/>
              </w:rPr>
              <w:t xml:space="preserve">Están desde RN</w:t>
            </w:r>
            <w:r w:rsidDel="00000000" w:rsidR="00000000" w:rsidRPr="00000000">
              <w:rPr>
                <w:rtl w:val="0"/>
              </w:rPr>
              <w:t xml:space="preserve"> y son los primeros en neumatizarse.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2"/>
                <w:numId w:val="2"/>
              </w:numPr>
              <w:ind w:left="2160" w:hanging="360"/>
              <w:jc w:val="left"/>
            </w:pPr>
            <w:r w:rsidDel="00000000" w:rsidR="00000000" w:rsidRPr="00000000">
              <w:rPr>
                <w:rtl w:val="0"/>
              </w:rPr>
              <w:t xml:space="preserve">Aparecen 3 mes de gstacionn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 Esfenoidal: </w:t>
            </w:r>
            <w:r w:rsidDel="00000000" w:rsidR="00000000" w:rsidRPr="00000000">
              <w:rPr>
                <w:rtl w:val="0"/>
              </w:rPr>
              <w:t xml:space="preserve">Se desarrollan a</w:t>
            </w:r>
            <w:r w:rsidDel="00000000" w:rsidR="00000000" w:rsidRPr="00000000">
              <w:rPr>
                <w:shd w:fill="caffe6" w:val="clear"/>
                <w:rtl w:val="0"/>
              </w:rPr>
              <w:t xml:space="preserve"> partir de los 2 años </w:t>
            </w:r>
            <w:r w:rsidDel="00000000" w:rsidR="00000000" w:rsidRPr="00000000">
              <w:rPr>
                <w:rtl w:val="0"/>
              </w:rPr>
              <w:t xml:space="preserve">y se encuentran neumatizados a los 5 años y su máximo desarrollo es a los 12 años. Se encuentra ubicado en la base del cráneo.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 Frontales: </w:t>
            </w:r>
            <w:r w:rsidDel="00000000" w:rsidR="00000000" w:rsidRPr="00000000">
              <w:rPr>
                <w:rtl w:val="0"/>
              </w:rPr>
              <w:t xml:space="preserve">Completan su neumatización </w:t>
            </w:r>
            <w:r w:rsidDel="00000000" w:rsidR="00000000" w:rsidRPr="00000000">
              <w:rPr>
                <w:shd w:fill="c98ee1" w:val="clear"/>
                <w:rtl w:val="0"/>
              </w:rPr>
              <w:t xml:space="preserve">a los 8 años.</w:t>
            </w:r>
            <w:r w:rsidDel="00000000" w:rsidR="00000000" w:rsidRPr="00000000">
              <w:rPr>
                <w:rtl w:val="0"/>
              </w:rPr>
              <w:t xml:space="preserve"> Su desarrollo es variable.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Son los ultimos en neumatizarsw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gridCol w:w="5220"/>
        <w:tblGridChange w:id="0">
          <w:tblGrid>
            <w:gridCol w:w="4815"/>
            <w:gridCol w:w="522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CLASIFICACIÓN DE LA SINUSITIS BACTERIANA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7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60"/>
              <w:gridCol w:w="7320"/>
              <w:tblGridChange w:id="0">
                <w:tblGrid>
                  <w:gridCol w:w="2460"/>
                  <w:gridCol w:w="73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Sinusitis aguda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 los síntomas se resuelven completamente en menos de 30 días o 4 semanas.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Sinusitis bacteriana subaguda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Cuando el cuadro se resuelve entre los 30 y los 90 días.</w:t>
                  </w:r>
                </w:p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Sinusitis recurrente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 cuadros en 6 meses separados por 10 o más días asintomáticos, o 4 cuadros en 12 meses que responden rápidamente al tratamiento.</w:t>
                  </w:r>
                </w:p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Es menor &lt; que en la OMA el tiempo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4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Sinusitis crónica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Tiene síntomas persistentes (Tos, rinorrea, obstrucción nasal por 3 meses) y se relaciona con atopias y ERGE. </w:t>
                  </w:r>
                </w:p>
              </w:tc>
            </w:tr>
          </w:tbl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FISIOPATOLOGÍA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 senos paranasales son estructuras estériles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Infección respiratoria superior de etiología viral, que genera obstrucción, producción de moco claro o espeso e inflamación de la mucosa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Invasión bacteriana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obstrucción de los ostia, además de la disfunción mucociliar, produce un aumento transitorio de la presión en la cavidad sinusal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Entre menos oxígeno hay en el seno, la presión es más negativa, lo que lleva a que la bacterias vayan desde la nariz a la nasofaringe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Multiplicación bacteriana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La fisiopatología que envuelve la sinusitis involucra 3 factores principales: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Obstrucción del ostium del seno: esto es lo principal para que se obstruya.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Disfunción del aparato ciliar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Aumento de la cantidad y densidad de las secreciones</w:t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CLÍNICA 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DIAGNÓSTICO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Antecedente de IRA Viral, paciente presentó dolor de garganta, rinorrea hialina, tos, algo de fiebre 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Cambios en el moco por presencia de PMN o leucos,  rinorrea espesa verde o amarilla que desaparece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CINCO - DIEZ , días después, reaparece la tos persistente, halitosis y fiebre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cefalea  es rar en el niño pequeño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Rinorrea  acuosa o purulenta, con descarga post nasal  que desencadena la tos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Es mas frecuente en el adolescente, referida con los cambios de posición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Nauseas, vomito, irritabilidad, anorexia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fiebre  es poco habitual y es de curso intermitente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TOTALMENTE CLÍNICO SI ES UNA SINUSITIS NO COMPLICADA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CRITERIOS DIAGNÓSTICOS: Uno o más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IRA, con síntomas por más de 10 días, sin mejoría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Empeoramiento de los síntomas de IRA, después de una aparente mejoría.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Signos y síntomas severos desde el primer día de enfermedad: fiebre alta, rinorrea purulenta, cefalea, compromiso del estado general por al menos 3 días consecutivos.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PARACLÍNICOS: NO SON NECESARIOS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EXAMEN FÍSICO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IMÁGENES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Mucosa nasal con eritema, edema, rinorre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Edema periorbitario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Dolor a la presión frontal o maxilar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Escurrimiento orofaringe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Solo son necesarias si hay complicaciones: 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gridCol w:w="5220"/>
        <w:tblGridChange w:id="0">
          <w:tblGrid>
            <w:gridCol w:w="4815"/>
            <w:gridCol w:w="522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IMÁGENES</w:t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RADIOGRAFÍA 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TAC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Radiografía de senos paranasales (la proyección más útil para el diagnóstico es la de Waters- Mentoplaca), TAC, son inespecíficos e innecesarios en el cuadro sin complicaciones.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Radiografía de Senos paranasales: 50% de niños con IRA viral, cursan con anomalías radiológicas en senos paranasales, indistinguibles de la sinusitis.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 hallazgos son: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Opacificación sinusal completa 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Engrosamiento de la mucosa &gt; 4 mm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Presencia de niveles hidroaéreos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 síntomas nasales bilaterales (neoplasia) o cuerpo extraño, cuadros recurrentes o persistentes.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complicaciones orbitarias o intracraneales, solicitar TAC contrastado de órbita, senos paranasales y cerebral.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RMN: No irradia y es la ideal para lesiones intracraneales 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GOLD STANNDAD: Es en pacientes con rercurrencia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RMN: </w:t>
            </w:r>
            <w:r w:rsidDel="00000000" w:rsidR="00000000" w:rsidRPr="00000000">
              <w:rPr>
                <w:rtl w:val="0"/>
              </w:rPr>
              <w:t xml:space="preserve">SI COMPLICACIONES A SNC, No irradia y es la ideal para lesiones intracraneales</w:t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TRANSILUMINACIÓN 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ECOGRAFÍA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practica de rutina. Es difícil en niños menores de 10 años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Seno paranasal ocupado por líquido, no transilumina.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Hay que estar familiarizado con la técnica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MÁS SENSIBLE Y ESPECÍFICA QUE RX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PUNCION DE SENO PARANASAL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CULTIVO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punción del SP con toma de cultivo de la muestra obtenida por aspiración  GOLD ESTÁNDAR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un procedimiento además de invasivo, dispendioso por la poca colaboración. Usado en no respuesta al tratamiento por sospecha de patógeno resistente, en inmunocomprometidos, cuadros recurrentes, cuadros severos, paciente tóxico.</w:t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DIAGNÓSTICOS DIFERENCIALES 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COMPLICACIONES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Infecciones virales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Cuerpo extraño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Rinitis alérgica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Adenoiditis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Son el 5% de los casos que comprometen la órbita, SN o Hueso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 que más se compromete son Frontal y etmoidal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5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45"/>
              <w:gridCol w:w="3315"/>
              <w:tblGridChange w:id="0">
                <w:tblGrid>
                  <w:gridCol w:w="1245"/>
                  <w:gridCol w:w="33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dc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Frontal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SNC (Cefalea, convulsión, meningitis, empiema, absceso cerebral, epidural)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dc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Etmoidal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Órbita ( Absceso subperióstico, celulitis orbitaria, absceso orbitario y la neuritis óptica) </w:t>
                  </w:r>
                </w:p>
              </w:tc>
            </w:tr>
          </w:tbl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La complicación ósea de la sinusitis frontal aguda, es el tumor turgente de POTT (Absceso subperióstico del hueso frontal).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Trombosis del seno cavernoso: edema de órbita, ptosis palpebral bilateral.</w:t>
            </w:r>
          </w:p>
        </w:tc>
      </w:tr>
    </w:tbl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0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gridCol w:w="5235"/>
        <w:tblGridChange w:id="0">
          <w:tblGrid>
            <w:gridCol w:w="4815"/>
            <w:gridCol w:w="52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TRATAMIENTO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97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820"/>
              <w:gridCol w:w="3210"/>
              <w:gridCol w:w="3735"/>
              <w:tblGridChange w:id="0">
                <w:tblGrid>
                  <w:gridCol w:w="2820"/>
                  <w:gridCol w:w="3210"/>
                  <w:gridCol w:w="373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tcBorders>
                    <w:bottom w:color="0b5394" w:space="0" w:sz="12" w:val="single"/>
                  </w:tcBorders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Medida general </w:t>
                  </w:r>
                </w:p>
              </w:tc>
              <w:tc>
                <w:tcPr>
                  <w:gridSpan w:val="2"/>
                  <w:tcBorders>
                    <w:bottom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widowControl w:val="0"/>
                    <w:numPr>
                      <w:ilvl w:val="0"/>
                      <w:numId w:val="23"/>
                    </w:numPr>
                    <w:ind w:left="72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Adecuada Hidratación </w:t>
                  </w:r>
                </w:p>
                <w:p w:rsidR="00000000" w:rsidDel="00000000" w:rsidP="00000000" w:rsidRDefault="00000000" w:rsidRPr="00000000" w14:paraId="000000A3">
                  <w:pPr>
                    <w:widowControl w:val="0"/>
                    <w:numPr>
                      <w:ilvl w:val="0"/>
                      <w:numId w:val="23"/>
                    </w:numPr>
                    <w:ind w:left="72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Manejo del dolor</w:t>
                  </w:r>
                </w:p>
                <w:p w:rsidR="00000000" w:rsidDel="00000000" w:rsidP="00000000" w:rsidRDefault="00000000" w:rsidRPr="00000000" w14:paraId="000000A4">
                  <w:pPr>
                    <w:widowControl w:val="0"/>
                    <w:numPr>
                      <w:ilvl w:val="0"/>
                      <w:numId w:val="23"/>
                    </w:numPr>
                    <w:ind w:left="72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Mantener despejadas las fosas nasales, lavado nasal cada 6h 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3"/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Antibiotico empirico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ffff0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Amoxicilina</w:t>
                  </w:r>
                </w:p>
              </w:tc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Amoxicilina clavulanato </w:t>
                  </w:r>
                </w:p>
              </w:tc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caffe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Alergia a la penicilina </w:t>
                  </w:r>
                </w:p>
              </w:tc>
            </w:tr>
            <w:tr>
              <w:trPr>
                <w:cantSplit w:val="0"/>
                <w:trHeight w:val="432.978515625" w:hRule="atLeast"/>
                <w:tblHeader w:val="0"/>
              </w:trPr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Primera línea para cuadros agudos sin complicaciones </w:t>
                  </w:r>
                </w:p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80- 90 mg/kg/día dividido en 3 dosis por 14 días </w:t>
                  </w:r>
                </w:p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(la amoxicilina satura la proteína fijadora de penicilina del Streptococcus pneumoniae).</w:t>
                  </w:r>
                </w:p>
              </w:tc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 indica cuando hay sospecha de infección por Haemophilus influenzae, cuadros severos, sospecha de gérmenes resistentes. (Escenario 3)</w:t>
                  </w:r>
                </w:p>
                <w:p w:rsidR="00000000" w:rsidDel="00000000" w:rsidP="00000000" w:rsidRDefault="00000000" w:rsidRPr="00000000" w14:paraId="000000B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Cubre: Moraxella Catarrhalis y Haemophilus Influenzae resistente. </w:t>
                  </w:r>
                </w:p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Niños menos de 2 años </w:t>
                  </w:r>
                </w:p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Sintomatologia muy intensa y prolongada </w:t>
                  </w:r>
                </w:p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 MEDIADA POR IgE:  (NO TIPO 1)</w:t>
                  </w:r>
                </w:p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Cefuroxima 30 mg/kg/día</w:t>
                  </w:r>
                </w:p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MEDIADA POR IgE:</w:t>
                  </w:r>
                </w:p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widowControl w:val="0"/>
                    <w:numPr>
                      <w:ilvl w:val="0"/>
                      <w:numId w:val="2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Levofloxacina 10 a 20 mg/kg día por 10 días.</w:t>
                  </w:r>
                </w:p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widowControl w:val="0"/>
                    <w:numPr>
                      <w:ilvl w:val="0"/>
                      <w:numId w:val="2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Claritromicina, azitromicina o eritromicina.</w:t>
                  </w:r>
                </w:p>
              </w:tc>
            </w:tr>
            <w:tr>
              <w:trPr>
                <w:cantSplit w:val="0"/>
                <w:trHeight w:val="432.978515625" w:hRule="atLeast"/>
                <w:tblHeader w:val="0"/>
              </w:trPr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d9d2e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Macrólidos </w:t>
                  </w:r>
                </w:p>
              </w:tc>
              <w:tc>
                <w:tcPr>
                  <w:gridSpan w:val="2"/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recomendados por resistencia del Streptococcus pneumoniae.</w:t>
                  </w:r>
                </w:p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OJO MACROLIDOS  EN SINUSITIS NO</w:t>
                  </w:r>
                </w:p>
              </w:tc>
            </w:tr>
            <w:tr>
              <w:trPr>
                <w:cantSplit w:val="0"/>
                <w:trHeight w:val="432.978515625" w:hRule="atLeast"/>
                <w:tblHeader w:val="0"/>
              </w:trPr>
              <w:tc>
                <w:tcPr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d9d2e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Cefalosporinas III</w:t>
                  </w:r>
                </w:p>
              </w:tc>
              <w:tc>
                <w:tcPr>
                  <w:gridSpan w:val="2"/>
                  <w:tcBorders>
                    <w:top w:color="0b5394" w:space="0" w:sz="12" w:val="single"/>
                    <w:left w:color="0b5394" w:space="0" w:sz="12" w:val="single"/>
                    <w:bottom w:color="0b5394" w:space="0" w:sz="12" w:val="single"/>
                    <w:right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Ceftriaxona a 100 mg/kg/día por 10 días y cefotaxima se usan para Streptococcus pneumoniae resistente, pacientes con cuadros graves hospitalizados.</w:t>
                  </w:r>
                </w:p>
              </w:tc>
            </w:tr>
            <w:tr>
              <w:trPr>
                <w:cantSplit w:val="0"/>
                <w:trHeight w:val="432.978515625" w:hRule="atLeast"/>
                <w:tblHeader w:val="0"/>
              </w:trPr>
              <w:tc>
                <w:tcPr>
                  <w:tcBorders>
                    <w:top w:color="0b5394" w:space="0" w:sz="12" w:val="single"/>
                  </w:tcBorders>
                  <w:shd w:fill="adc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OTRAS TERAPIAS </w:t>
                  </w:r>
                </w:p>
              </w:tc>
              <w:tc>
                <w:tcPr>
                  <w:gridSpan w:val="2"/>
                  <w:tcBorders>
                    <w:top w:color="0b5394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widowControl w:val="0"/>
                    <w:numPr>
                      <w:ilvl w:val="0"/>
                      <w:numId w:val="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Esteroides intranasales, con antecedentes de rinitis alérgica, esto SI TIENE BENEFICIOS</w:t>
                  </w:r>
                </w:p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widowControl w:val="0"/>
                    <w:numPr>
                      <w:ilvl w:val="0"/>
                      <w:numId w:val="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se recomienda descongestionantes tópicos ni roales  </w:t>
                  </w:r>
                </w:p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widowControl w:val="0"/>
                    <w:numPr>
                      <w:ilvl w:val="0"/>
                      <w:numId w:val="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NO  RECOMENDADO Antihistaminicos</w:t>
                  </w:r>
                </w:p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widowControl w:val="0"/>
                    <w:numPr>
                      <w:ilvl w:val="0"/>
                      <w:numId w:val="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Muy recomendado el lavado nasal,indicarlo siempre </w:t>
                  </w:r>
                </w:p>
              </w:tc>
            </w:tr>
            <w:tr>
              <w:trPr>
                <w:cantSplit w:val="0"/>
                <w:trHeight w:val="432.978515625" w:hRule="atLeast"/>
                <w:tblHeader w:val="0"/>
              </w:trPr>
              <w:tc>
                <w:tcPr>
                  <w:shd w:fill="adc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QUIRÚRGICO </w:t>
                  </w:r>
                </w:p>
              </w:tc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Fracaso de segunda línea de tratamiento antibiótico</w:t>
                  </w:r>
                </w:p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Paciente con cuadro severo e inmunocomprometido</w:t>
                  </w:r>
                </w:p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Complicaciones de órbita e intracraneal</w:t>
                  </w:r>
                </w:p>
              </w:tc>
            </w:tr>
          </w:tbl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SOSPEHCE S. Aureus</w:t>
            </w:r>
          </w:p>
        </w:tc>
        <w:tc>
          <w:tcPr>
            <w:shd w:fill="adc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 no mejora sospeche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Terapia antimicrobiana previa fallida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Hospitalización reciente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Historia de cirugía nasal.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Germen infrecuente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Resistencia bacteriana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Inmunodeficiencia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Alteraciones anatómica</w:t>
            </w:r>
          </w:p>
        </w:tc>
      </w:tr>
    </w:tbl>
    <w:p w:rsidR="00000000" w:rsidDel="00000000" w:rsidP="00000000" w:rsidRDefault="00000000" w:rsidRPr="00000000" w14:paraId="000000D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17462</wp:posOffset>
            </wp:positionV>
            <wp:extent cx="5095013" cy="3769543"/>
            <wp:effectExtent b="0" l="0" r="0" t="0"/>
            <wp:wrapSquare wrapText="bothSides" distB="0" distT="0" distL="0" distR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013" cy="37695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104778</wp:posOffset>
            </wp:positionH>
            <wp:positionV relativeFrom="paragraph">
              <wp:posOffset>266700</wp:posOffset>
            </wp:positionV>
            <wp:extent cx="4878004" cy="1469162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21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4" cy="1469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-104773</wp:posOffset>
            </wp:positionH>
            <wp:positionV relativeFrom="paragraph">
              <wp:posOffset>2438400</wp:posOffset>
            </wp:positionV>
            <wp:extent cx="5180738" cy="3991716"/>
            <wp:effectExtent b="0" l="0" r="0" t="0"/>
            <wp:wrapSquare wrapText="bothSides" distB="0" distT="0" distL="0" distR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738" cy="39917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114300</wp:posOffset>
            </wp:positionV>
            <wp:extent cx="5229225" cy="2376035"/>
            <wp:effectExtent b="0" l="0" r="0" t="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434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76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332400" cy="3644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MANEJO QUIRURGICO SE HACE EN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Fracaso segunda linea de  TTO 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Complicaciones de orbita e intracraneal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Quicksand">
    <w:embedRegular w:fontKey="{00000000-0000-0000-0000-000000000000}" r:id="rId1" w:subsetted="0"/>
    <w:embedBold w:fontKey="{00000000-0000-0000-0000-000000000000}" r:id="rId2" w:subsetted="0"/>
  </w:font>
  <w:font w:name="Charmonman">
    <w:embedRegular w:fontKey="{00000000-0000-0000-0000-000000000000}" r:id="rId3" w:subsetted="0"/>
    <w:embedBold w:fontKey="{00000000-0000-0000-0000-000000000000}" r:id="rId4" w:subsetted="0"/>
  </w:font>
  <w:font w:name="Satisfy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B">
    <w:pPr>
      <w:jc w:val="right"/>
      <w:rPr>
        <w:b w:val="1"/>
        <w:i w:val="1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Quicksand" w:cs="Quicksand" w:eastAsia="Quicksand" w:hAnsi="Quicksand"/>
        <w:lang w:val="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color w:val="adcfff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  <w:jc w:val="left"/>
    </w:pPr>
    <w:rPr>
      <w:b w:val="1"/>
      <w:color w:val="0000ff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</w:pPr>
    <w:rPr>
      <w:b w:val="1"/>
      <w:shd w:fill="d9ead3" w:val="clear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a06cf6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color w:val="0000ff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b w:val="1"/>
      <w:shd w:fill="fff2cc" w:val="clear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76" w:lineRule="auto"/>
      <w:jc w:val="center"/>
    </w:pPr>
    <w:rPr>
      <w:rFonts w:ascii="Calistoga" w:cs="Calistoga" w:eastAsia="Calistoga" w:hAnsi="Calistoga"/>
      <w:b w:val="1"/>
      <w:color w:val="ff0000"/>
      <w:sz w:val="34"/>
      <w:szCs w:val="3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color w:val="adcfff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caffe6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jc w:val="left"/>
    </w:pPr>
    <w:rPr>
      <w:rFonts w:ascii="Charmonman" w:cs="Charmonman" w:eastAsia="Charmonman" w:hAnsi="Charmonman"/>
      <w:sz w:val="26"/>
      <w:szCs w:val="26"/>
      <w:u w:val="singl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jc w:val="left"/>
    </w:pPr>
    <w:rPr>
      <w:rFonts w:ascii="Charmonman" w:cs="Charmonman" w:eastAsia="Charmonman" w:hAnsi="Charmonman"/>
      <w:sz w:val="26"/>
      <w:szCs w:val="26"/>
      <w:u w:val="singl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Charmonman-regular.ttf"/><Relationship Id="rId4" Type="http://schemas.openxmlformats.org/officeDocument/2006/relationships/font" Target="fonts/Charmonman-bold.ttf"/><Relationship Id="rId5" Type="http://schemas.openxmlformats.org/officeDocument/2006/relationships/font" Target="fonts/Satisfy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awdKd3LyD2aS199QAhOjp779tg==">CgMxLjAyDmgudDMyMHJpOTl4OHU3OAByITFFQWFzb1BwdzBPbmdmdnlic0lTM1FjX3RfcGtuaUZxWQ==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