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color w:val="000000"/>
          <w:sz w:val="38"/>
          <w:szCs w:val="38"/>
        </w:rPr>
      </w:pPr>
      <w:bookmarkStart w:colFirst="0" w:colLast="0" w:name="_heading=h.ryrzn8k7juhd" w:id="0"/>
      <w:bookmarkEnd w:id="0"/>
      <w:r w:rsidDel="00000000" w:rsidR="00000000" w:rsidRPr="00000000">
        <w:rPr>
          <w:color w:val="000000"/>
          <w:sz w:val="38"/>
          <w:szCs w:val="38"/>
          <w:rtl w:val="0"/>
        </w:rPr>
        <w:t xml:space="preserve">TOSFERINA</w:t>
      </w:r>
      <w:r w:rsidDel="00000000" w:rsidR="00000000" w:rsidRPr="00000000">
        <w:rPr>
          <w:rtl w:val="0"/>
        </w:rPr>
      </w:r>
    </w:p>
    <w:tbl>
      <w:tblPr>
        <w:tblStyle w:val="Table1"/>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rPr>
          <w:cantSplit w:val="0"/>
          <w:tblHeader w:val="0"/>
        </w:trPr>
        <w:tc>
          <w:tcPr>
            <w:shd w:fill="adcfff"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DEFINICIÓN </w:t>
            </w:r>
          </w:p>
        </w:tc>
        <w:tc>
          <w:tcPr>
            <w:shd w:fill="adcfff"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EPIDEMIOLOGÍA </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Tosferina: sonido, como de fiera, que hacen las personas cuando tratan de respirar después de un acceso de tos.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Enfermedad de los 100 días, infección de vías respiratorias altas, por Bordetella pertussis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Patógeno exclusivamente humano </w:t>
            </w:r>
            <w:r w:rsidDel="00000000" w:rsidR="00000000" w:rsidRPr="00000000">
              <w:rPr>
                <w:rtl w:val="0"/>
              </w:rPr>
            </w:r>
          </w:p>
          <w:p w:rsidR="00000000" w:rsidDel="00000000" w:rsidP="00000000" w:rsidRDefault="00000000" w:rsidRPr="00000000" w14:paraId="0000000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Afecta personas de cualquier edad </w:t>
            </w:r>
            <w:r w:rsidDel="00000000" w:rsidR="00000000" w:rsidRPr="00000000">
              <w:rPr>
                <w:rtl w:val="0"/>
              </w:rPr>
            </w:r>
          </w:p>
          <w:p w:rsidR="00000000" w:rsidDel="00000000" w:rsidP="00000000" w:rsidRDefault="00000000" w:rsidRPr="00000000" w14:paraId="0000000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Altamente contagiosa</w:t>
            </w:r>
            <w:r w:rsidDel="00000000" w:rsidR="00000000" w:rsidRPr="00000000">
              <w:rPr>
                <w:rtl w:val="0"/>
              </w:rPr>
            </w:r>
          </w:p>
          <w:p w:rsidR="00000000" w:rsidDel="00000000" w:rsidP="00000000" w:rsidRDefault="00000000" w:rsidRPr="00000000" w14:paraId="0000000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Inmunoprevenible pero no de por vida (DPT en niños, Td mayores) </w:t>
            </w:r>
            <w:r w:rsidDel="00000000" w:rsidR="00000000" w:rsidRPr="00000000">
              <w:rPr>
                <w:b w:val="1"/>
                <w:sz w:val="22"/>
                <w:szCs w:val="22"/>
                <w:rtl w:val="0"/>
              </w:rPr>
              <w:t xml:space="preserve">La vacuna a la embarazada protege al bebe</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Puede ser mortal, especialmente en Los &lt; 1 años con tosferina necesitan hospitalización </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2"/>
                <w:szCs w:val="22"/>
                <w:highlight w:val="yellow"/>
              </w:rPr>
            </w:pPr>
            <w:r w:rsidDel="00000000" w:rsidR="00000000" w:rsidRPr="00000000">
              <w:rPr>
                <w:b w:val="1"/>
                <w:sz w:val="22"/>
                <w:szCs w:val="22"/>
                <w:highlight w:val="yellow"/>
                <w:rtl w:val="0"/>
              </w:rPr>
              <w:t xml:space="preserve">Afecta a menores de 1 año que no ha recibido la vacuna y en adolescentes y adultos por pérdida de la inmunidad </w:t>
            </w:r>
          </w:p>
          <w:p w:rsidR="00000000" w:rsidDel="00000000" w:rsidP="00000000" w:rsidRDefault="00000000" w:rsidRPr="00000000" w14:paraId="0000000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Enfermedad reemergente por lo diferentes brotes que se han presentado en el mundo </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Cuando se da la enfermedad, la inmunidad dura alrededor de 10 años. </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La vacunación genera anticuerpos y confiere una protección que disminuye con el tiempo, dura más o menos 10 años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cantSplit w:val="0"/>
          <w:trHeight w:val="400" w:hRule="atLeast"/>
          <w:tblHeader w:val="0"/>
        </w:trPr>
        <w:tc>
          <w:tcPr>
            <w:shd w:fill="adcff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ETIOLOGÍA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Bordetella Pertussis: </w:t>
            </w:r>
          </w:p>
          <w:p w:rsidR="00000000" w:rsidDel="00000000" w:rsidP="00000000" w:rsidRDefault="00000000" w:rsidRPr="00000000" w14:paraId="0000001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Bacilo gram negativo aerobio, encapsulado no móvil.</w:t>
            </w:r>
          </w:p>
          <w:p w:rsidR="00000000" w:rsidDel="00000000" w:rsidP="00000000" w:rsidRDefault="00000000" w:rsidRPr="00000000" w14:paraId="0000001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Difícil de cultivar por altos requerimientos nutritivos.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La B. parapertussis genera un cuadro más leve </w:t>
            </w:r>
          </w:p>
          <w:p w:rsidR="00000000" w:rsidDel="00000000" w:rsidP="00000000" w:rsidRDefault="00000000" w:rsidRPr="00000000" w14:paraId="0000001A">
            <w:pPr>
              <w:spacing w:after="160" w:line="259" w:lineRule="auto"/>
              <w:rPr>
                <w:sz w:val="22"/>
                <w:szCs w:val="22"/>
              </w:rPr>
            </w:pPr>
            <w:r w:rsidDel="00000000" w:rsidR="00000000" w:rsidRPr="00000000">
              <w:rPr>
                <w:rFonts w:ascii="Arial Nova Cond Light" w:cs="Arial Nova Cond Light" w:eastAsia="Arial Nova Cond Light" w:hAnsi="Arial Nova Cond Light"/>
                <w:sz w:val="22"/>
                <w:szCs w:val="22"/>
              </w:rPr>
              <w:drawing>
                <wp:inline distB="19050" distT="19050" distL="19050" distR="19050">
                  <wp:extent cx="2914650" cy="187960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1465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Se debe diferenciar de una Chlamydia pneumoniae</w:t>
            </w:r>
            <w:r w:rsidDel="00000000" w:rsidR="00000000" w:rsidRPr="00000000">
              <w:rPr>
                <w:sz w:val="22"/>
                <w:szCs w:val="22"/>
                <w:rtl w:val="0"/>
              </w:rPr>
              <w:t xml:space="preserve"> (CH hay eosinofilia + atrapamiento aéreo en Rx  y en la Tosferina hat linfocitosis)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rHeight w:val="400" w:hRule="atLeast"/>
          <w:tblHeader w:val="0"/>
        </w:trPr>
        <w:tc>
          <w:tcPr>
            <w:gridSpan w:val="2"/>
            <w:shd w:fill="adcfff"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b w:val="1"/>
                <w:sz w:val="22"/>
                <w:szCs w:val="22"/>
              </w:rPr>
            </w:pPr>
            <w:r w:rsidDel="00000000" w:rsidR="00000000" w:rsidRPr="00000000">
              <w:rPr>
                <w:b w:val="1"/>
                <w:sz w:val="22"/>
                <w:szCs w:val="22"/>
                <w:rtl w:val="0"/>
              </w:rPr>
              <w:t xml:space="preserve">PATOGENIA </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left"/>
              <w:rPr>
                <w:b w:val="1"/>
                <w:sz w:val="22"/>
                <w:szCs w:val="22"/>
                <w:highlight w:val="yellow"/>
              </w:rPr>
            </w:pPr>
            <w:r w:rsidDel="00000000" w:rsidR="00000000" w:rsidRPr="00000000">
              <w:rPr>
                <w:b w:val="1"/>
                <w:sz w:val="22"/>
                <w:szCs w:val="22"/>
                <w:highlight w:val="yellow"/>
                <w:rtl w:val="0"/>
              </w:rPr>
              <w:t xml:space="preserve">Pasos en la patogenia: Primo infección hay linfocitosis </w:t>
            </w:r>
          </w:p>
          <w:p w:rsidR="00000000" w:rsidDel="00000000" w:rsidP="00000000" w:rsidRDefault="00000000" w:rsidRPr="00000000" w14:paraId="00000020">
            <w:pPr>
              <w:widowControl w:val="0"/>
              <w:numPr>
                <w:ilvl w:val="0"/>
                <w:numId w:val="4"/>
              </w:numPr>
              <w:ind w:left="720" w:hanging="360"/>
              <w:jc w:val="left"/>
              <w:rPr>
                <w:sz w:val="22"/>
                <w:szCs w:val="22"/>
              </w:rPr>
            </w:pPr>
            <w:r w:rsidDel="00000000" w:rsidR="00000000" w:rsidRPr="00000000">
              <w:rPr>
                <w:b w:val="1"/>
                <w:sz w:val="22"/>
                <w:szCs w:val="22"/>
                <w:rtl w:val="0"/>
              </w:rPr>
              <w:t xml:space="preserve">Inoculación:</w:t>
            </w:r>
            <w:r w:rsidDel="00000000" w:rsidR="00000000" w:rsidRPr="00000000">
              <w:rPr>
                <w:sz w:val="22"/>
                <w:szCs w:val="22"/>
                <w:rtl w:val="0"/>
              </w:rPr>
              <w:t xml:space="preserve"> BP ingresa por inhalación (de individuo enfermo o de individuo portador).</w:t>
            </w:r>
            <w:r w:rsidDel="00000000" w:rsidR="00000000" w:rsidRPr="00000000">
              <w:rPr>
                <w:rtl w:val="0"/>
              </w:rPr>
            </w:r>
          </w:p>
          <w:p w:rsidR="00000000" w:rsidDel="00000000" w:rsidP="00000000" w:rsidRDefault="00000000" w:rsidRPr="00000000" w14:paraId="00000021">
            <w:pPr>
              <w:widowControl w:val="0"/>
              <w:numPr>
                <w:ilvl w:val="0"/>
                <w:numId w:val="4"/>
              </w:numPr>
              <w:ind w:left="720" w:hanging="360"/>
              <w:jc w:val="left"/>
              <w:rPr>
                <w:sz w:val="22"/>
                <w:szCs w:val="22"/>
              </w:rPr>
            </w:pPr>
            <w:r w:rsidDel="00000000" w:rsidR="00000000" w:rsidRPr="00000000">
              <w:rPr>
                <w:b w:val="1"/>
                <w:sz w:val="22"/>
                <w:szCs w:val="22"/>
                <w:rtl w:val="0"/>
              </w:rPr>
              <w:t xml:space="preserve">Adhesión:</w:t>
            </w:r>
            <w:r w:rsidDel="00000000" w:rsidR="00000000" w:rsidRPr="00000000">
              <w:rPr>
                <w:sz w:val="22"/>
                <w:szCs w:val="22"/>
                <w:rtl w:val="0"/>
              </w:rPr>
              <w:t xml:space="preserve"> La BP se adhiere a las células ciliadas por las adhesinas.</w:t>
            </w:r>
            <w:r w:rsidDel="00000000" w:rsidR="00000000" w:rsidRPr="00000000">
              <w:rPr>
                <w:rtl w:val="0"/>
              </w:rPr>
            </w:r>
          </w:p>
          <w:p w:rsidR="00000000" w:rsidDel="00000000" w:rsidP="00000000" w:rsidRDefault="00000000" w:rsidRPr="00000000" w14:paraId="00000022">
            <w:pPr>
              <w:widowControl w:val="0"/>
              <w:numPr>
                <w:ilvl w:val="1"/>
                <w:numId w:val="4"/>
              </w:numPr>
              <w:ind w:left="1440" w:hanging="360"/>
              <w:jc w:val="left"/>
              <w:rPr>
                <w:sz w:val="22"/>
                <w:szCs w:val="22"/>
              </w:rPr>
            </w:pPr>
            <w:r w:rsidDel="00000000" w:rsidR="00000000" w:rsidRPr="00000000">
              <w:rPr>
                <w:b w:val="1"/>
                <w:sz w:val="22"/>
                <w:szCs w:val="22"/>
                <w:rtl w:val="0"/>
              </w:rPr>
              <w:t xml:space="preserve"> la toxina pertúsica (TP):</w:t>
            </w:r>
            <w:r w:rsidDel="00000000" w:rsidR="00000000" w:rsidRPr="00000000">
              <w:rPr>
                <w:sz w:val="22"/>
                <w:szCs w:val="22"/>
                <w:rtl w:val="0"/>
              </w:rPr>
              <w:t xml:space="preserve"> que entre otras funciones, puede actuar como adhesina a través de su subunidad B</w:t>
            </w:r>
          </w:p>
          <w:p w:rsidR="00000000" w:rsidDel="00000000" w:rsidP="00000000" w:rsidRDefault="00000000" w:rsidRPr="00000000" w14:paraId="00000023">
            <w:pPr>
              <w:widowControl w:val="0"/>
              <w:numPr>
                <w:ilvl w:val="0"/>
                <w:numId w:val="4"/>
              </w:numPr>
              <w:ind w:left="720" w:hanging="360"/>
              <w:jc w:val="left"/>
              <w:rPr>
                <w:sz w:val="22"/>
                <w:szCs w:val="22"/>
              </w:rPr>
            </w:pPr>
            <w:r w:rsidDel="00000000" w:rsidR="00000000" w:rsidRPr="00000000">
              <w:rPr>
                <w:b w:val="1"/>
                <w:sz w:val="22"/>
                <w:szCs w:val="22"/>
                <w:rtl w:val="0"/>
              </w:rPr>
              <w:t xml:space="preserve">Multiplicación y evasión de las defensas del huésped:</w:t>
            </w:r>
            <w:r w:rsidDel="00000000" w:rsidR="00000000" w:rsidRPr="00000000">
              <w:rPr>
                <w:sz w:val="22"/>
                <w:szCs w:val="22"/>
                <w:rtl w:val="0"/>
              </w:rPr>
              <w:t xml:space="preserve"> La toxina Pertussis impide la migración de linfocitos, macrófagos al sitio de la infección.</w:t>
            </w:r>
            <w:r w:rsidDel="00000000" w:rsidR="00000000" w:rsidRPr="00000000">
              <w:rPr>
                <w:rtl w:val="0"/>
              </w:rPr>
            </w:r>
          </w:p>
          <w:p w:rsidR="00000000" w:rsidDel="00000000" w:rsidP="00000000" w:rsidRDefault="00000000" w:rsidRPr="00000000" w14:paraId="00000024">
            <w:pPr>
              <w:widowControl w:val="0"/>
              <w:numPr>
                <w:ilvl w:val="1"/>
                <w:numId w:val="4"/>
              </w:numPr>
              <w:ind w:left="1440" w:hanging="360"/>
              <w:jc w:val="left"/>
              <w:rPr>
                <w:sz w:val="22"/>
                <w:szCs w:val="22"/>
              </w:rPr>
            </w:pPr>
            <w:r w:rsidDel="00000000" w:rsidR="00000000" w:rsidRPr="00000000">
              <w:rPr>
                <w:b w:val="1"/>
                <w:sz w:val="22"/>
                <w:szCs w:val="22"/>
                <w:rtl w:val="0"/>
              </w:rPr>
              <w:t xml:space="preserve">La toxina tipo adenilato ciclasa (ACT)</w:t>
            </w:r>
            <w:r w:rsidDel="00000000" w:rsidR="00000000" w:rsidRPr="00000000">
              <w:rPr>
                <w:sz w:val="22"/>
                <w:szCs w:val="22"/>
                <w:rtl w:val="0"/>
              </w:rPr>
              <w:t xml:space="preserve">, que actúa como factor antifagocítico; el lipopolisacárido (LPS), una endotoxina posiblemente también con propiedades propias de una adhesina</w:t>
            </w:r>
            <w:r w:rsidDel="00000000" w:rsidR="00000000" w:rsidRPr="00000000">
              <w:rPr>
                <w:rtl w:val="0"/>
              </w:rPr>
            </w:r>
          </w:p>
          <w:p w:rsidR="00000000" w:rsidDel="00000000" w:rsidP="00000000" w:rsidRDefault="00000000" w:rsidRPr="00000000" w14:paraId="00000025">
            <w:pPr>
              <w:widowControl w:val="0"/>
              <w:numPr>
                <w:ilvl w:val="0"/>
                <w:numId w:val="4"/>
              </w:numPr>
              <w:ind w:left="720" w:hanging="360"/>
              <w:jc w:val="left"/>
              <w:rPr>
                <w:sz w:val="22"/>
                <w:szCs w:val="22"/>
              </w:rPr>
            </w:pPr>
            <w:r w:rsidDel="00000000" w:rsidR="00000000" w:rsidRPr="00000000">
              <w:rPr>
                <w:b w:val="1"/>
                <w:sz w:val="22"/>
                <w:szCs w:val="22"/>
                <w:rtl w:val="0"/>
              </w:rPr>
              <w:t xml:space="preserve">Daño local: </w:t>
            </w:r>
            <w:r w:rsidDel="00000000" w:rsidR="00000000" w:rsidRPr="00000000">
              <w:rPr>
                <w:sz w:val="22"/>
                <w:szCs w:val="22"/>
                <w:rtl w:val="0"/>
              </w:rPr>
              <w:t xml:space="preserve">Se liberan toxinas, adhesinas: Hemaglutinina filamentosa, pertactina, fimbria, dañan los cilios, provocan la inflamación, leucocitos, linfocitos, hiperplasia de tejido linfoide, secreciones espesas, atelectasias, necrosis epitelial.</w:t>
            </w:r>
            <w:r w:rsidDel="00000000" w:rsidR="00000000" w:rsidRPr="00000000">
              <w:rPr>
                <w:rtl w:val="0"/>
              </w:rPr>
            </w:r>
          </w:p>
          <w:p w:rsidR="00000000" w:rsidDel="00000000" w:rsidP="00000000" w:rsidRDefault="00000000" w:rsidRPr="00000000" w14:paraId="00000026">
            <w:pPr>
              <w:widowControl w:val="0"/>
              <w:numPr>
                <w:ilvl w:val="0"/>
                <w:numId w:val="4"/>
              </w:numPr>
              <w:ind w:left="720" w:hanging="360"/>
              <w:jc w:val="left"/>
              <w:rPr>
                <w:sz w:val="22"/>
                <w:szCs w:val="22"/>
              </w:rPr>
            </w:pPr>
            <w:r w:rsidDel="00000000" w:rsidR="00000000" w:rsidRPr="00000000">
              <w:rPr>
                <w:b w:val="1"/>
                <w:sz w:val="22"/>
                <w:szCs w:val="22"/>
                <w:rtl w:val="0"/>
              </w:rPr>
              <w:t xml:space="preserve">Daño sistémico:</w:t>
            </w:r>
            <w:r w:rsidDel="00000000" w:rsidR="00000000" w:rsidRPr="00000000">
              <w:rPr>
                <w:sz w:val="22"/>
                <w:szCs w:val="22"/>
                <w:rtl w:val="0"/>
              </w:rPr>
              <w:t xml:space="preserve"> Exagerada linfocitosis inducida por la toxina Pertussis. Solo la Bordetella Pertussis expresa la toxina Pertussis, responsable de la Linfocitosis</w:t>
            </w:r>
            <w:r w:rsidDel="00000000" w:rsidR="00000000" w:rsidRPr="00000000">
              <w:rPr>
                <w:rtl w:val="0"/>
              </w:rPr>
            </w:r>
          </w:p>
          <w:p w:rsidR="00000000" w:rsidDel="00000000" w:rsidP="00000000" w:rsidRDefault="00000000" w:rsidRPr="00000000" w14:paraId="00000027">
            <w:pPr>
              <w:widowControl w:val="0"/>
              <w:jc w:val="left"/>
              <w:rPr>
                <w:sz w:val="22"/>
                <w:szCs w:val="22"/>
              </w:rPr>
            </w:pPr>
            <w:r w:rsidDel="00000000" w:rsidR="00000000" w:rsidRPr="00000000">
              <w:rPr>
                <w:rtl w:val="0"/>
              </w:rPr>
            </w:r>
          </w:p>
        </w:tc>
      </w:tr>
      <w:tr>
        <w:trPr>
          <w:cantSplit w:val="0"/>
          <w:trHeight w:val="400" w:hRule="atLeast"/>
          <w:tblHeader w:val="0"/>
        </w:trPr>
        <w:tc>
          <w:tcPr>
            <w:gridSpan w:val="2"/>
            <w:shd w:fill="adcff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CUADRO CLÍNICO </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rPr>
                <w:b w:val="1"/>
                <w:sz w:val="22"/>
                <w:szCs w:val="22"/>
                <w:highlight w:val="yellow"/>
              </w:rPr>
            </w:pPr>
            <w:r w:rsidDel="00000000" w:rsidR="00000000" w:rsidRPr="00000000">
              <w:rPr>
                <w:b w:val="1"/>
                <w:sz w:val="22"/>
                <w:szCs w:val="22"/>
                <w:highlight w:val="yellow"/>
                <w:rtl w:val="0"/>
              </w:rPr>
              <w:t xml:space="preserve"> PARTA DE LA TOS TUSÍGENA</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795"/>
              <w:tblGridChange w:id="0">
                <w:tblGrid>
                  <w:gridCol w:w="2565"/>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left"/>
                    <w:rPr>
                      <w:sz w:val="22"/>
                      <w:szCs w:val="22"/>
                    </w:rPr>
                  </w:pPr>
                  <w:r w:rsidDel="00000000" w:rsidR="00000000" w:rsidRPr="00000000">
                    <w:rPr>
                      <w:b w:val="1"/>
                      <w:sz w:val="22"/>
                      <w:szCs w:val="22"/>
                      <w:rtl w:val="0"/>
                    </w:rPr>
                    <w:t xml:space="preserve">FASE CATARRAL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Síntomas leves</w:t>
                  </w:r>
                </w:p>
                <w:p w:rsidR="00000000" w:rsidDel="00000000" w:rsidP="00000000" w:rsidRDefault="00000000" w:rsidRPr="00000000" w14:paraId="0000002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Rinorrea, tos, febrícula y congestión nasal. Indistinguible de un resfriado común.</w:t>
                  </w:r>
                </w:p>
                <w:p w:rsidR="00000000" w:rsidDel="00000000" w:rsidP="00000000" w:rsidRDefault="00000000" w:rsidRPr="00000000" w14:paraId="0000002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Dura unas 2 semanas</w:t>
                  </w:r>
                </w:p>
                <w:p w:rsidR="00000000" w:rsidDel="00000000" w:rsidP="00000000" w:rsidRDefault="00000000" w:rsidRPr="00000000" w14:paraId="0000003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Es la fase más contagiosa</w:t>
                  </w:r>
                </w:p>
                <w:p w:rsidR="00000000" w:rsidDel="00000000" w:rsidP="00000000" w:rsidRDefault="00000000" w:rsidRPr="00000000" w14:paraId="0000003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Rara vez se sospecha la enfermedad en esta fase.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left"/>
                    <w:rPr>
                      <w:sz w:val="22"/>
                      <w:szCs w:val="22"/>
                    </w:rPr>
                  </w:pPr>
                  <w:r w:rsidDel="00000000" w:rsidR="00000000" w:rsidRPr="00000000">
                    <w:rPr>
                      <w:b w:val="1"/>
                      <w:sz w:val="22"/>
                      <w:szCs w:val="22"/>
                      <w:rtl w:val="0"/>
                    </w:rPr>
                    <w:t xml:space="preserve">PAROXISTICA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13"/>
                    </w:numPr>
                    <w:ind w:left="720" w:hanging="360"/>
                    <w:jc w:val="left"/>
                    <w:rPr>
                      <w:sz w:val="22"/>
                      <w:szCs w:val="22"/>
                    </w:rPr>
                  </w:pPr>
                  <w:r w:rsidDel="00000000" w:rsidR="00000000" w:rsidRPr="00000000">
                    <w:rPr>
                      <w:sz w:val="22"/>
                      <w:szCs w:val="22"/>
                      <w:rtl w:val="0"/>
                    </w:rPr>
                    <w:t xml:space="preserve">Tos en accesos de predominio nocturno </w:t>
                  </w:r>
                </w:p>
                <w:p w:rsidR="00000000" w:rsidDel="00000000" w:rsidP="00000000" w:rsidRDefault="00000000" w:rsidRPr="00000000" w14:paraId="00000034">
                  <w:pPr>
                    <w:widowControl w:val="0"/>
                    <w:numPr>
                      <w:ilvl w:val="0"/>
                      <w:numId w:val="13"/>
                    </w:numPr>
                    <w:ind w:left="720" w:hanging="360"/>
                    <w:jc w:val="left"/>
                    <w:rPr>
                      <w:sz w:val="22"/>
                      <w:szCs w:val="22"/>
                    </w:rPr>
                  </w:pPr>
                  <w:r w:rsidDel="00000000" w:rsidR="00000000" w:rsidRPr="00000000">
                    <w:rPr>
                      <w:sz w:val="22"/>
                      <w:szCs w:val="22"/>
                      <w:rtl w:val="0"/>
                    </w:rPr>
                    <w:t xml:space="preserve">Congestión facial o cianosis </w:t>
                  </w:r>
                </w:p>
                <w:p w:rsidR="00000000" w:rsidDel="00000000" w:rsidP="00000000" w:rsidRDefault="00000000" w:rsidRPr="00000000" w14:paraId="00000035">
                  <w:pPr>
                    <w:widowControl w:val="0"/>
                    <w:numPr>
                      <w:ilvl w:val="0"/>
                      <w:numId w:val="13"/>
                    </w:numPr>
                    <w:ind w:left="720" w:hanging="360"/>
                    <w:jc w:val="left"/>
                    <w:rPr>
                      <w:sz w:val="22"/>
                      <w:szCs w:val="22"/>
                    </w:rPr>
                  </w:pPr>
                  <w:r w:rsidDel="00000000" w:rsidR="00000000" w:rsidRPr="00000000">
                    <w:rPr>
                      <w:sz w:val="22"/>
                      <w:szCs w:val="22"/>
                      <w:rtl w:val="0"/>
                    </w:rPr>
                    <w:t xml:space="preserve">Vómitos </w:t>
                  </w:r>
                </w:p>
                <w:p w:rsidR="00000000" w:rsidDel="00000000" w:rsidP="00000000" w:rsidRDefault="00000000" w:rsidRPr="00000000" w14:paraId="00000036">
                  <w:pPr>
                    <w:widowControl w:val="0"/>
                    <w:numPr>
                      <w:ilvl w:val="0"/>
                      <w:numId w:val="13"/>
                    </w:numPr>
                    <w:ind w:left="720" w:hanging="360"/>
                    <w:jc w:val="left"/>
                    <w:rPr>
                      <w:sz w:val="22"/>
                      <w:szCs w:val="22"/>
                    </w:rPr>
                  </w:pPr>
                  <w:r w:rsidDel="00000000" w:rsidR="00000000" w:rsidRPr="00000000">
                    <w:rPr>
                      <w:sz w:val="22"/>
                      <w:szCs w:val="22"/>
                      <w:rtl w:val="0"/>
                    </w:rPr>
                    <w:t xml:space="preserve">Sensación de ahogo y gallo inspiratorio tras los golpes de tos (5 o más) </w:t>
                  </w:r>
                </w:p>
                <w:p w:rsidR="00000000" w:rsidDel="00000000" w:rsidP="00000000" w:rsidRDefault="00000000" w:rsidRPr="00000000" w14:paraId="00000037">
                  <w:pPr>
                    <w:widowControl w:val="0"/>
                    <w:numPr>
                      <w:ilvl w:val="0"/>
                      <w:numId w:val="13"/>
                    </w:numPr>
                    <w:ind w:left="720" w:hanging="360"/>
                    <w:jc w:val="left"/>
                    <w:rPr>
                      <w:sz w:val="22"/>
                      <w:szCs w:val="22"/>
                    </w:rPr>
                  </w:pPr>
                  <w:r w:rsidDel="00000000" w:rsidR="00000000" w:rsidRPr="00000000">
                    <w:rPr>
                      <w:sz w:val="22"/>
                      <w:szCs w:val="22"/>
                      <w:rtl w:val="0"/>
                    </w:rPr>
                    <w:t xml:space="preserve">Accesos de tos separados de intervalos de tiempo en los que el niño se nota bien </w:t>
                  </w:r>
                </w:p>
                <w:p w:rsidR="00000000" w:rsidDel="00000000" w:rsidP="00000000" w:rsidRDefault="00000000" w:rsidRPr="00000000" w14:paraId="00000038">
                  <w:pPr>
                    <w:widowControl w:val="0"/>
                    <w:numPr>
                      <w:ilvl w:val="0"/>
                      <w:numId w:val="13"/>
                    </w:numPr>
                    <w:ind w:left="720" w:hanging="360"/>
                    <w:jc w:val="left"/>
                    <w:rPr>
                      <w:sz w:val="22"/>
                      <w:szCs w:val="22"/>
                    </w:rPr>
                  </w:pPr>
                  <w:r w:rsidDel="00000000" w:rsidR="00000000" w:rsidRPr="00000000">
                    <w:rPr>
                      <w:sz w:val="22"/>
                      <w:szCs w:val="22"/>
                      <w:rtl w:val="0"/>
                    </w:rPr>
                    <w:t xml:space="preserve">Los recién nacidos y lactantes generalmente no hacen estridor inspiratorio. Pueden presentar apnea, bradicardia, cianosis, convulsiones. </w:t>
                  </w:r>
                </w:p>
                <w:p w:rsidR="00000000" w:rsidDel="00000000" w:rsidP="00000000" w:rsidRDefault="00000000" w:rsidRPr="00000000" w14:paraId="00000039">
                  <w:pPr>
                    <w:widowControl w:val="0"/>
                    <w:numPr>
                      <w:ilvl w:val="0"/>
                      <w:numId w:val="13"/>
                    </w:numPr>
                    <w:ind w:left="720" w:hanging="360"/>
                    <w:jc w:val="left"/>
                    <w:rPr>
                      <w:sz w:val="22"/>
                      <w:szCs w:val="22"/>
                    </w:rPr>
                  </w:pPr>
                  <w:r w:rsidDel="00000000" w:rsidR="00000000" w:rsidRPr="00000000">
                    <w:rPr>
                      <w:sz w:val="22"/>
                      <w:szCs w:val="22"/>
                      <w:rtl w:val="0"/>
                    </w:rPr>
                    <w:t xml:space="preserve">La fase dura entre 4-8 semanas</w:t>
                  </w:r>
                </w:p>
                <w:p w:rsidR="00000000" w:rsidDel="00000000" w:rsidP="00000000" w:rsidRDefault="00000000" w:rsidRPr="00000000" w14:paraId="0000003A">
                  <w:pPr>
                    <w:widowControl w:val="0"/>
                    <w:numPr>
                      <w:ilvl w:val="0"/>
                      <w:numId w:val="13"/>
                    </w:numPr>
                    <w:ind w:left="720" w:hanging="360"/>
                    <w:jc w:val="left"/>
                    <w:rPr>
                      <w:sz w:val="22"/>
                      <w:szCs w:val="22"/>
                    </w:rPr>
                  </w:pPr>
                  <w:r w:rsidDel="00000000" w:rsidR="00000000" w:rsidRPr="00000000">
                    <w:rPr>
                      <w:sz w:val="22"/>
                      <w:szCs w:val="22"/>
                      <w:rtl w:val="0"/>
                    </w:rPr>
                    <w:t xml:space="preserve">Se dan las complicaciones secundarias a la tos: no puede dormir, no puede comer, desnutrición, hemorragias subconjuntivales, hernias inguinales (que se darían solo en caso de que el niño tenga una predisposición por un problema en la pared abdominal), prolapso rectal. Encefalitis por hemorragia subaracnoidea</w:t>
                  </w:r>
                </w:p>
                <w:p w:rsidR="00000000" w:rsidDel="00000000" w:rsidP="00000000" w:rsidRDefault="00000000" w:rsidRPr="00000000" w14:paraId="0000003B">
                  <w:pPr>
                    <w:widowControl w:val="0"/>
                    <w:numPr>
                      <w:ilvl w:val="0"/>
                      <w:numId w:val="13"/>
                    </w:numPr>
                    <w:ind w:left="720" w:hanging="360"/>
                    <w:jc w:val="left"/>
                    <w:rPr>
                      <w:sz w:val="22"/>
                      <w:szCs w:val="22"/>
                    </w:rPr>
                  </w:pPr>
                  <w:r w:rsidDel="00000000" w:rsidR="00000000" w:rsidRPr="00000000">
                    <w:rPr>
                      <w:sz w:val="22"/>
                      <w:szCs w:val="22"/>
                      <w:rtl w:val="0"/>
                    </w:rPr>
                    <w:t xml:space="preserve">Es la fase que le da la característica a la enfermedad, en la fase catarral no se era posible hacer el diagnóstico fácilmente, en cambio, en la fase paroxística los síntomas y signos aportan más al diagnóstico.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CONVALESCENCIA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Tos desaparece gradualmente </w:t>
                  </w:r>
                </w:p>
                <w:p w:rsidR="00000000" w:rsidDel="00000000" w:rsidP="00000000" w:rsidRDefault="00000000" w:rsidRPr="00000000" w14:paraId="0000003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Suele durar otras 2-4 semanas </w:t>
                  </w:r>
                </w:p>
                <w:p w:rsidR="00000000" w:rsidDel="00000000" w:rsidP="00000000" w:rsidRDefault="00000000" w:rsidRPr="00000000" w14:paraId="0000003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No obstante, en muchos casos no se observa este patrón “clásico” y únicamente se manifiestan síntomas catarrales leves sin la tos característica. </w:t>
                  </w:r>
                </w:p>
                <w:p w:rsidR="00000000" w:rsidDel="00000000" w:rsidP="00000000" w:rsidRDefault="00000000" w:rsidRPr="00000000" w14:paraId="0000004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La mejora en el diagnóstico ha puesto de manifiesto que los casos “atípicos” con escasos síntomas son más frecuentes de lo que previamente se sospechaba.</w:t>
                  </w:r>
                </w:p>
              </w:tc>
            </w:tr>
          </w:tb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2">
            <w:pPr>
              <w:spacing w:after="160" w:line="259" w:lineRule="auto"/>
              <w:rPr>
                <w:rFonts w:ascii="Arial Nova Cond Light" w:cs="Arial Nova Cond Light" w:eastAsia="Arial Nova Cond Light" w:hAnsi="Arial Nova Cond Light"/>
                <w:sz w:val="22"/>
                <w:szCs w:val="22"/>
              </w:rPr>
            </w:pPr>
            <w:r w:rsidDel="00000000" w:rsidR="00000000" w:rsidRPr="00000000">
              <w:rPr>
                <w:rFonts w:ascii="Arial Nova Cond Light" w:cs="Arial Nova Cond Light" w:eastAsia="Arial Nova Cond Light" w:hAnsi="Arial Nova Cond Light"/>
                <w:sz w:val="22"/>
                <w:szCs w:val="22"/>
              </w:rPr>
              <w:drawing>
                <wp:inline distB="19050" distT="19050" distL="19050" distR="19050">
                  <wp:extent cx="4152038" cy="2150965"/>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52038" cy="2150965"/>
                          </a:xfrm>
                          <a:prstGeom prst="rect"/>
                          <a:ln/>
                        </pic:spPr>
                      </pic:pic>
                    </a:graphicData>
                  </a:graphic>
                </wp:inline>
              </w:drawing>
            </w:r>
            <w:r w:rsidDel="00000000" w:rsidR="00000000" w:rsidRPr="00000000">
              <w:rPr>
                <w:rtl w:val="0"/>
              </w:rPr>
            </w:r>
          </w:p>
        </w:tc>
      </w:tr>
      <w:tr>
        <w:trPr>
          <w:cantSplit w:val="0"/>
          <w:tblHeader w:val="0"/>
        </w:trPr>
        <w:tc>
          <w:tcPr>
            <w:shd w:fill="adcfff" w:val="clear"/>
            <w:tcMar>
              <w:top w:w="100.0" w:type="dxa"/>
              <w:left w:w="100.0" w:type="dxa"/>
              <w:bottom w:w="100.0" w:type="dxa"/>
              <w:right w:w="100.0" w:type="dxa"/>
            </w:tcMar>
            <w:vAlign w:val="top"/>
          </w:tcPr>
          <w:p w:rsidR="00000000" w:rsidDel="00000000" w:rsidP="00000000" w:rsidRDefault="00000000" w:rsidRPr="00000000" w14:paraId="00000044">
            <w:pPr>
              <w:widowControl w:val="0"/>
              <w:jc w:val="center"/>
              <w:rPr>
                <w:b w:val="1"/>
                <w:sz w:val="22"/>
                <w:szCs w:val="22"/>
              </w:rPr>
            </w:pPr>
            <w:r w:rsidDel="00000000" w:rsidR="00000000" w:rsidRPr="00000000">
              <w:rPr>
                <w:b w:val="1"/>
                <w:sz w:val="22"/>
                <w:szCs w:val="22"/>
                <w:rtl w:val="0"/>
              </w:rPr>
              <w:t xml:space="preserve">DIAGNÓSTICO </w:t>
            </w:r>
          </w:p>
        </w:tc>
        <w:tc>
          <w:tcPr>
            <w:shd w:fill="adcff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PARACLÍNICOS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ES CLÍNICO </w:t>
            </w:r>
          </w:p>
          <w:p w:rsidR="00000000" w:rsidDel="00000000" w:rsidP="00000000" w:rsidRDefault="00000000" w:rsidRPr="00000000" w14:paraId="0000004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Es sencillo en el cuadro de tos típica, pero no lo es en niños vacunados, adolescentes, o adultos con cuadro de tos no característico.  </w:t>
            </w:r>
          </w:p>
          <w:p w:rsidR="00000000" w:rsidDel="00000000" w:rsidP="00000000" w:rsidRDefault="00000000" w:rsidRPr="00000000" w14:paraId="0000004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b w:val="1"/>
                <w:sz w:val="22"/>
                <w:szCs w:val="22"/>
                <w:rtl w:val="0"/>
              </w:rPr>
              <w:t xml:space="preserve">Radiografía: </w:t>
            </w:r>
            <w:r w:rsidDel="00000000" w:rsidR="00000000" w:rsidRPr="00000000">
              <w:rPr>
                <w:sz w:val="22"/>
                <w:szCs w:val="22"/>
                <w:rtl w:val="0"/>
              </w:rPr>
              <w:t xml:space="preserve">lo característico de la tosferina es “el corazón peludo”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2"/>
                <w:szCs w:val="22"/>
                <w:highlight w:val="red"/>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2"/>
                <w:szCs w:val="22"/>
                <w:highlight w:val="red"/>
              </w:rPr>
            </w:pPr>
            <w:r w:rsidDel="00000000" w:rsidR="00000000" w:rsidRPr="00000000">
              <w:rPr>
                <w:b w:val="1"/>
                <w:color w:val="ffffff"/>
                <w:sz w:val="22"/>
                <w:szCs w:val="22"/>
                <w:highlight w:val="red"/>
                <w:rtl w:val="0"/>
              </w:rPr>
              <w:t xml:space="preserve">Índice de gravedad</w:t>
            </w:r>
          </w:p>
          <w:p w:rsidR="00000000" w:rsidDel="00000000" w:rsidP="00000000" w:rsidRDefault="00000000" w:rsidRPr="00000000" w14:paraId="0000004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Menor de 6 meses</w:t>
            </w:r>
            <w:r w:rsidDel="00000000" w:rsidR="00000000" w:rsidRPr="00000000">
              <w:rPr>
                <w:rtl w:val="0"/>
              </w:rPr>
            </w:r>
          </w:p>
          <w:p w:rsidR="00000000" w:rsidDel="00000000" w:rsidP="00000000" w:rsidRDefault="00000000" w:rsidRPr="00000000" w14:paraId="0000004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Apnea </w:t>
            </w:r>
            <w:r w:rsidDel="00000000" w:rsidR="00000000" w:rsidRPr="00000000">
              <w:rPr>
                <w:rtl w:val="0"/>
              </w:rPr>
            </w:r>
          </w:p>
          <w:p w:rsidR="00000000" w:rsidDel="00000000" w:rsidP="00000000" w:rsidRDefault="00000000" w:rsidRPr="00000000" w14:paraId="0000004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Cianosis </w:t>
            </w:r>
            <w:r w:rsidDel="00000000" w:rsidR="00000000" w:rsidRPr="00000000">
              <w:rPr>
                <w:rtl w:val="0"/>
              </w:rPr>
            </w:r>
          </w:p>
          <w:p w:rsidR="00000000" w:rsidDel="00000000" w:rsidP="00000000" w:rsidRDefault="00000000" w:rsidRPr="00000000" w14:paraId="0000004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Convulsiones </w:t>
            </w:r>
            <w:r w:rsidDel="00000000" w:rsidR="00000000" w:rsidRPr="00000000">
              <w:rPr>
                <w:rtl w:val="0"/>
              </w:rPr>
            </w:r>
          </w:p>
          <w:p w:rsidR="00000000" w:rsidDel="00000000" w:rsidP="00000000" w:rsidRDefault="00000000" w:rsidRPr="00000000" w14:paraId="0000005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FC &gt; 200 </w:t>
            </w:r>
            <w:r w:rsidDel="00000000" w:rsidR="00000000" w:rsidRPr="00000000">
              <w:rPr>
                <w:rtl w:val="0"/>
              </w:rPr>
            </w:r>
          </w:p>
          <w:p w:rsidR="00000000" w:rsidDel="00000000" w:rsidP="00000000" w:rsidRDefault="00000000" w:rsidRPr="00000000" w14:paraId="0000005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Leucocitosis &gt; 50000</w:t>
            </w:r>
            <w:r w:rsidDel="00000000" w:rsidR="00000000" w:rsidRPr="00000000">
              <w:rPr>
                <w:rtl w:val="0"/>
              </w:rPr>
            </w:r>
          </w:p>
          <w:p w:rsidR="00000000" w:rsidDel="00000000" w:rsidP="00000000" w:rsidRDefault="00000000" w:rsidRPr="00000000" w14:paraId="0000005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RNP </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160" w:line="259" w:lineRule="auto"/>
              <w:rPr>
                <w:rFonts w:ascii="Arial Nova Cond Light" w:cs="Arial Nova Cond Light" w:eastAsia="Arial Nova Cond Light" w:hAnsi="Arial Nova Cond Light"/>
                <w:sz w:val="22"/>
                <w:szCs w:val="22"/>
              </w:rPr>
            </w:pPr>
            <w:r w:rsidDel="00000000" w:rsidR="00000000" w:rsidRPr="00000000">
              <w:rPr>
                <w:rFonts w:ascii="Arial Nova Cond Light" w:cs="Arial Nova Cond Light" w:eastAsia="Arial Nova Cond Light" w:hAnsi="Arial Nova Cond Light"/>
                <w:sz w:val="22"/>
                <w:szCs w:val="22"/>
              </w:rPr>
              <w:drawing>
                <wp:inline distB="19050" distT="19050" distL="19050" distR="19050">
                  <wp:extent cx="2914650" cy="1587500"/>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1465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10"/>
              </w:numPr>
              <w:ind w:left="720" w:hanging="360"/>
              <w:rPr>
                <w:sz w:val="22"/>
                <w:szCs w:val="22"/>
              </w:rPr>
            </w:pPr>
            <w:r w:rsidDel="00000000" w:rsidR="00000000" w:rsidRPr="00000000">
              <w:rPr>
                <w:b w:val="1"/>
                <w:sz w:val="22"/>
                <w:szCs w:val="22"/>
                <w:rtl w:val="0"/>
              </w:rPr>
              <w:t xml:space="preserve">Hemograma</w:t>
            </w:r>
            <w:r w:rsidDel="00000000" w:rsidR="00000000" w:rsidRPr="00000000">
              <w:rPr>
                <w:sz w:val="22"/>
                <w:szCs w:val="22"/>
                <w:rtl w:val="0"/>
              </w:rPr>
              <w:t xml:space="preserve">: leucocitosis &gt; 20.000 con &gt; 60% de linfocitos </w:t>
            </w:r>
          </w:p>
          <w:p w:rsidR="00000000" w:rsidDel="00000000" w:rsidP="00000000" w:rsidRDefault="00000000" w:rsidRPr="00000000" w14:paraId="00000057">
            <w:pPr>
              <w:numPr>
                <w:ilvl w:val="0"/>
                <w:numId w:val="10"/>
              </w:numPr>
              <w:ind w:left="720" w:hanging="360"/>
              <w:rPr>
                <w:sz w:val="22"/>
                <w:szCs w:val="22"/>
              </w:rPr>
            </w:pPr>
            <w:r w:rsidDel="00000000" w:rsidR="00000000" w:rsidRPr="00000000">
              <w:rPr>
                <w:b w:val="1"/>
                <w:sz w:val="22"/>
                <w:szCs w:val="22"/>
                <w:rtl w:val="0"/>
              </w:rPr>
              <w:t xml:space="preserve">Cultivo de secreción nasofaríngea</w:t>
            </w:r>
            <w:r w:rsidDel="00000000" w:rsidR="00000000" w:rsidRPr="00000000">
              <w:rPr>
                <w:sz w:val="22"/>
                <w:szCs w:val="22"/>
                <w:rtl w:val="0"/>
              </w:rPr>
              <w:t xml:space="preserve"> (&lt;2 sem de los síntomas, baja sensibilidad). Se toman muestras de secreción nasofaríngea</w:t>
            </w:r>
          </w:p>
          <w:p w:rsidR="00000000" w:rsidDel="00000000" w:rsidP="00000000" w:rsidRDefault="00000000" w:rsidRPr="00000000" w14:paraId="00000058">
            <w:pPr>
              <w:numPr>
                <w:ilvl w:val="0"/>
                <w:numId w:val="10"/>
              </w:numPr>
              <w:ind w:left="720" w:hanging="360"/>
              <w:rPr>
                <w:sz w:val="22"/>
                <w:szCs w:val="22"/>
              </w:rPr>
            </w:pPr>
            <w:r w:rsidDel="00000000" w:rsidR="00000000" w:rsidRPr="00000000">
              <w:rPr>
                <w:b w:val="1"/>
                <w:sz w:val="22"/>
                <w:szCs w:val="22"/>
                <w:rtl w:val="0"/>
              </w:rPr>
              <w:t xml:space="preserve">Reacción de cadena de la polimerasa (PCR</w:t>
            </w:r>
            <w:r w:rsidDel="00000000" w:rsidR="00000000" w:rsidRPr="00000000">
              <w:rPr>
                <w:sz w:val="22"/>
                <w:szCs w:val="22"/>
                <w:rtl w:val="0"/>
              </w:rPr>
              <w:t xml:space="preserve">) rápida y muy sensible. Muestra de nasofaringe </w:t>
            </w:r>
          </w:p>
          <w:p w:rsidR="00000000" w:rsidDel="00000000" w:rsidP="00000000" w:rsidRDefault="00000000" w:rsidRPr="00000000" w14:paraId="00000059">
            <w:pPr>
              <w:numPr>
                <w:ilvl w:val="0"/>
                <w:numId w:val="10"/>
              </w:numPr>
              <w:ind w:left="720" w:hanging="360"/>
              <w:rPr>
                <w:sz w:val="22"/>
                <w:szCs w:val="22"/>
              </w:rPr>
            </w:pPr>
            <w:r w:rsidDel="00000000" w:rsidR="00000000" w:rsidRPr="00000000">
              <w:rPr>
                <w:b w:val="1"/>
                <w:sz w:val="22"/>
                <w:szCs w:val="22"/>
                <w:rtl w:val="0"/>
              </w:rPr>
              <w:t xml:space="preserve">Serología: </w:t>
            </w:r>
            <w:r w:rsidDel="00000000" w:rsidR="00000000" w:rsidRPr="00000000">
              <w:rPr>
                <w:sz w:val="22"/>
                <w:szCs w:val="22"/>
                <w:rtl w:val="0"/>
              </w:rPr>
              <w:t xml:space="preserve">buena herramienta para casos tardíos. (sem 3-6 se titulan anticuerpos)</w:t>
            </w:r>
          </w:p>
          <w:p w:rsidR="00000000" w:rsidDel="00000000" w:rsidP="00000000" w:rsidRDefault="00000000" w:rsidRPr="00000000" w14:paraId="0000005A">
            <w:pPr>
              <w:numPr>
                <w:ilvl w:val="0"/>
                <w:numId w:val="10"/>
              </w:numPr>
              <w:ind w:left="720" w:hanging="360"/>
              <w:rPr>
                <w:sz w:val="22"/>
                <w:szCs w:val="22"/>
              </w:rPr>
            </w:pPr>
            <w:r w:rsidDel="00000000" w:rsidR="00000000" w:rsidRPr="00000000">
              <w:rPr>
                <w:rtl w:val="0"/>
              </w:rPr>
            </w:r>
          </w:p>
          <w:p w:rsidR="00000000" w:rsidDel="00000000" w:rsidP="00000000" w:rsidRDefault="00000000" w:rsidRPr="00000000" w14:paraId="0000005B">
            <w:pPr>
              <w:numPr>
                <w:ilvl w:val="0"/>
                <w:numId w:val="10"/>
              </w:numPr>
              <w:ind w:left="720" w:hanging="360"/>
              <w:rPr>
                <w:sz w:val="22"/>
                <w:szCs w:val="22"/>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spacing w:after="160" w:line="259" w:lineRule="auto"/>
              <w:jc w:val="center"/>
              <w:rPr>
                <w:rFonts w:ascii="Arial Nova Cond Light" w:cs="Arial Nova Cond Light" w:eastAsia="Arial Nova Cond Light" w:hAnsi="Arial Nova Cond Light"/>
                <w:sz w:val="22"/>
                <w:szCs w:val="22"/>
              </w:rPr>
            </w:pPr>
            <w:r w:rsidDel="00000000" w:rsidR="00000000" w:rsidRPr="00000000">
              <w:rPr>
                <w:rFonts w:ascii="Arial Nova Cond Light" w:cs="Arial Nova Cond Light" w:eastAsia="Arial Nova Cond Light" w:hAnsi="Arial Nova Cond Light"/>
                <w:sz w:val="22"/>
                <w:szCs w:val="22"/>
              </w:rPr>
              <w:drawing>
                <wp:inline distB="19050" distT="19050" distL="19050" distR="19050">
                  <wp:extent cx="5514113" cy="4473714"/>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14113" cy="4473714"/>
                          </a:xfrm>
                          <a:prstGeom prst="rect"/>
                          <a:ln/>
                        </pic:spPr>
                      </pic:pic>
                    </a:graphicData>
                  </a:graphic>
                </wp:inline>
              </w:drawing>
            </w:r>
            <w:r w:rsidDel="00000000" w:rsidR="00000000" w:rsidRPr="00000000">
              <w:rPr>
                <w:rtl w:val="0"/>
              </w:rPr>
            </w:r>
          </w:p>
        </w:tc>
      </w:tr>
      <w:tr>
        <w:trPr>
          <w:cantSplit w:val="0"/>
          <w:trHeight w:val="400" w:hRule="atLeast"/>
          <w:tblHeader w:val="0"/>
        </w:trPr>
        <w:tc>
          <w:tcPr>
            <w:gridSpan w:val="2"/>
            <w:shd w:fill="adcfff"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TRATAMIENTO </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bl>
            <w:tblPr>
              <w:tblStyle w:val="Table3"/>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650"/>
              <w:tblGridChange w:id="0">
                <w:tblGrid>
                  <w:gridCol w:w="4530"/>
                  <w:gridCol w:w="4650"/>
                </w:tblGrid>
              </w:tblGridChange>
            </w:tblGrid>
            <w:tr>
              <w:trPr>
                <w:cantSplit w:val="0"/>
                <w:tblHeader w:val="0"/>
              </w:trPr>
              <w:tc>
                <w:tcPr>
                  <w:shd w:fill="adcff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SINTOMÁTICO </w:t>
                  </w:r>
                </w:p>
              </w:tc>
              <w:tc>
                <w:tcPr>
                  <w:shd w:fill="adcff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ETIOLÓGICO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2"/>
                      <w:szCs w:val="22"/>
                    </w:rPr>
                  </w:pPr>
                  <w:r w:rsidDel="00000000" w:rsidR="00000000" w:rsidRPr="00000000">
                    <w:rPr>
                      <w:b w:val="1"/>
                      <w:sz w:val="22"/>
                      <w:szCs w:val="22"/>
                      <w:rtl w:val="0"/>
                    </w:rPr>
                    <w:t xml:space="preserve">Disminuir la intensidad y frecuencia de la tos </w:t>
                  </w:r>
                </w:p>
                <w:p w:rsidR="00000000" w:rsidDel="00000000" w:rsidP="00000000" w:rsidRDefault="00000000" w:rsidRPr="00000000" w14:paraId="0000006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b w:val="1"/>
                      <w:sz w:val="22"/>
                      <w:szCs w:val="22"/>
                      <w:rtl w:val="0"/>
                    </w:rPr>
                    <w:t xml:space="preserve">Proporcionar adecuada oxigenación </w:t>
                  </w:r>
                  <w:r w:rsidDel="00000000" w:rsidR="00000000" w:rsidRPr="00000000">
                    <w:rPr>
                      <w:sz w:val="22"/>
                      <w:szCs w:val="22"/>
                      <w:rtl w:val="0"/>
                    </w:rPr>
                    <w:t xml:space="preserve">sobre todo durante paroxismos </w:t>
                  </w:r>
                </w:p>
                <w:p w:rsidR="00000000" w:rsidDel="00000000" w:rsidP="00000000" w:rsidRDefault="00000000" w:rsidRPr="00000000" w14:paraId="0000006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Alimentación adecuada, depende del paciente si dar por VO o IV. Evitar desnutrición o deshidratación </w:t>
                  </w:r>
                </w:p>
                <w:p w:rsidR="00000000" w:rsidDel="00000000" w:rsidP="00000000" w:rsidRDefault="00000000" w:rsidRPr="00000000" w14:paraId="0000006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b w:val="1"/>
                      <w:sz w:val="22"/>
                      <w:szCs w:val="22"/>
                      <w:highlight w:val="yellow"/>
                      <w:rtl w:val="0"/>
                    </w:rPr>
                    <w:t xml:space="preserve">Antitusígenos - Mejor no - Sin evidencia suficiente aun</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_________________________________________________</w:t>
                  </w:r>
                </w:p>
                <w:p w:rsidR="00000000" w:rsidDel="00000000" w:rsidP="00000000" w:rsidRDefault="00000000" w:rsidRPr="00000000" w14:paraId="0000006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b w:val="1"/>
                      <w:sz w:val="22"/>
                      <w:szCs w:val="22"/>
                      <w:shd w:fill="caffe6" w:val="clear"/>
                      <w:rtl w:val="0"/>
                    </w:rPr>
                    <w:t xml:space="preserve">En menores de 1 mes la única opción es azitromicina</w:t>
                  </w:r>
                  <w:r w:rsidDel="00000000" w:rsidR="00000000" w:rsidRPr="00000000">
                    <w:rPr>
                      <w:sz w:val="22"/>
                      <w:szCs w:val="22"/>
                      <w:rtl w:val="0"/>
                    </w:rPr>
                    <w:t xml:space="preserve">. No se pueden usar las otras por el riesgo de estenosis del píloro, sobre todo con la eritromicina. </w:t>
                  </w:r>
                  <w:r w:rsidDel="00000000" w:rsidR="00000000" w:rsidRPr="00000000">
                    <w:rPr>
                      <w:rtl w:val="0"/>
                    </w:rPr>
                  </w:r>
                </w:p>
                <w:p w:rsidR="00000000" w:rsidDel="00000000" w:rsidP="00000000" w:rsidRDefault="00000000" w:rsidRPr="00000000" w14:paraId="0000006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2"/>
                      <w:szCs w:val="22"/>
                      <w:shd w:fill="caffe6" w:val="clear"/>
                    </w:rPr>
                  </w:pPr>
                  <w:r w:rsidDel="00000000" w:rsidR="00000000" w:rsidRPr="00000000">
                    <w:rPr>
                      <w:b w:val="1"/>
                      <w:sz w:val="22"/>
                      <w:szCs w:val="22"/>
                      <w:shd w:fill="caffe6" w:val="clear"/>
                      <w:rtl w:val="0"/>
                    </w:rPr>
                    <w:t xml:space="preserve">En los mayores de 6 meses la azitromicina el primer día es 10 mg/kg/día</w:t>
                  </w:r>
                </w:p>
                <w:p w:rsidR="00000000" w:rsidDel="00000000" w:rsidP="00000000" w:rsidRDefault="00000000" w:rsidRPr="00000000" w14:paraId="0000006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2"/>
                      <w:szCs w:val="22"/>
                      <w:shd w:fill="caffe6" w:val="clear"/>
                    </w:rPr>
                  </w:pPr>
                  <w:r w:rsidDel="00000000" w:rsidR="00000000" w:rsidRPr="00000000">
                    <w:rPr>
                      <w:b w:val="1"/>
                      <w:sz w:val="22"/>
                      <w:szCs w:val="22"/>
                      <w:shd w:fill="caffe6" w:val="clear"/>
                      <w:rtl w:val="0"/>
                    </w:rPr>
                    <w:t xml:space="preserve"> 2 años es a 5 mg/kg/día.</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Erradicar la infección de la nasofaringe Interrumpir la transmisión </w:t>
                  </w:r>
                </w:p>
                <w:p w:rsidR="00000000" w:rsidDel="00000000" w:rsidP="00000000" w:rsidRDefault="00000000" w:rsidRPr="00000000" w14:paraId="0000006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Impacta los síntomas en relación con el tiempo de inicio de la enfermedad </w:t>
                  </w:r>
                </w:p>
                <w:p w:rsidR="00000000" w:rsidDel="00000000" w:rsidP="00000000" w:rsidRDefault="00000000" w:rsidRPr="00000000" w14:paraId="0000006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2"/>
                      <w:szCs w:val="22"/>
                      <w:highlight w:val="yellow"/>
                    </w:rPr>
                  </w:pPr>
                  <w:r w:rsidDel="00000000" w:rsidR="00000000" w:rsidRPr="00000000">
                    <w:rPr>
                      <w:b w:val="1"/>
                      <w:sz w:val="22"/>
                      <w:szCs w:val="22"/>
                      <w:highlight w:val="yellow"/>
                      <w:rtl w:val="0"/>
                    </w:rPr>
                    <w:t xml:space="preserve">Si se inicia en las primeras 2 semanas de la enfermedad, puede tener algún impacto sobre la sintomatología </w:t>
                  </w:r>
                </w:p>
                <w:p w:rsidR="00000000" w:rsidDel="00000000" w:rsidP="00000000" w:rsidRDefault="00000000" w:rsidRPr="00000000" w14:paraId="0000007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Iniciándose más allá de las 3 semanas, se impacta la erradicación e interrupción de la transmisión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b w:val="1"/>
                      <w:sz w:val="22"/>
                      <w:szCs w:val="22"/>
                      <w:shd w:fill="caffe6" w:val="clear"/>
                      <w:rtl w:val="0"/>
                    </w:rPr>
                    <w:t xml:space="preserve">Los macrólidos representan el tratamiento de elección, especialmente azitromicina,</w:t>
                  </w:r>
                  <w:r w:rsidDel="00000000" w:rsidR="00000000" w:rsidRPr="00000000">
                    <w:rPr>
                      <w:sz w:val="22"/>
                      <w:szCs w:val="22"/>
                      <w:rtl w:val="0"/>
                    </w:rPr>
                    <w:t xml:space="preserve"> siendo alternativas la claritromicina y la eritromicina. Deben iniciarse precozmente ante la sospecha especialmente en pacientes de mayor riesgo (&lt; 6 meses) </w:t>
                  </w:r>
                  <w:r w:rsidDel="00000000" w:rsidR="00000000" w:rsidRPr="00000000">
                    <w:rPr>
                      <w:rtl w:val="0"/>
                    </w:rPr>
                  </w:r>
                </w:p>
                <w:p w:rsidR="00000000" w:rsidDel="00000000" w:rsidP="00000000" w:rsidRDefault="00000000" w:rsidRPr="00000000" w14:paraId="00000073">
                  <w:pPr>
                    <w:keepNext w:val="0"/>
                    <w:keepLines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sdt>
                    <w:sdtPr>
                      <w:tag w:val="goog_rdk_0"/>
                    </w:sdtPr>
                    <w:sdtContent>
                      <w:r w:rsidDel="00000000" w:rsidR="00000000" w:rsidRPr="00000000">
                        <w:rPr>
                          <w:rFonts w:ascii="Arial Unicode MS" w:cs="Arial Unicode MS" w:eastAsia="Arial Unicode MS" w:hAnsi="Arial Unicode MS"/>
                          <w:sz w:val="22"/>
                          <w:szCs w:val="22"/>
                          <w:rtl w:val="0"/>
                        </w:rPr>
                        <w:t xml:space="preserve">Azitromicina → Riesgopde flebitis</w:t>
                      </w:r>
                    </w:sdtContent>
                  </w:sdt>
                  <w:r w:rsidDel="00000000" w:rsidR="00000000" w:rsidRPr="00000000">
                    <w:rPr>
                      <w:rtl w:val="0"/>
                    </w:rPr>
                  </w:r>
                </w:p>
                <w:p w:rsidR="00000000" w:rsidDel="00000000" w:rsidP="00000000" w:rsidRDefault="00000000" w:rsidRPr="00000000" w14:paraId="0000007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2"/>
                      <w:szCs w:val="22"/>
                      <w:shd w:fill="caffe6" w:val="clear"/>
                    </w:rPr>
                  </w:pPr>
                  <w:r w:rsidDel="00000000" w:rsidR="00000000" w:rsidRPr="00000000">
                    <w:rPr>
                      <w:b w:val="1"/>
                      <w:sz w:val="22"/>
                      <w:szCs w:val="22"/>
                      <w:shd w:fill="caffe6" w:val="clear"/>
                      <w:rtl w:val="0"/>
                    </w:rPr>
                    <w:t xml:space="preserve">En pacientes con riesgo de arritmia, o resistencia a macrólidos se usa cotrimoxazol en &gt;6 semanas</w:t>
                  </w:r>
                </w:p>
              </w:tc>
            </w:tr>
          </w:tbl>
          <w:p w:rsidR="00000000" w:rsidDel="00000000" w:rsidP="00000000" w:rsidRDefault="00000000" w:rsidRPr="00000000" w14:paraId="00000075">
            <w:pPr>
              <w:spacing w:after="160" w:line="259" w:lineRule="auto"/>
              <w:jc w:val="center"/>
              <w:rPr>
                <w:rFonts w:ascii="Arial Nova Cond Light" w:cs="Arial Nova Cond Light" w:eastAsia="Arial Nova Cond Light" w:hAnsi="Arial Nova Cond Light"/>
                <w:sz w:val="22"/>
                <w:szCs w:val="22"/>
              </w:rPr>
            </w:pPr>
            <w:r w:rsidDel="00000000" w:rsidR="00000000" w:rsidRPr="00000000">
              <w:rPr>
                <w:rFonts w:ascii="Arial Nova Cond Light" w:cs="Arial Nova Cond Light" w:eastAsia="Arial Nova Cond Light" w:hAnsi="Arial Nova Cond Light"/>
                <w:sz w:val="22"/>
                <w:szCs w:val="22"/>
              </w:rPr>
              <w:drawing>
                <wp:inline distB="0" distT="0" distL="0" distR="0">
                  <wp:extent cx="5612130" cy="2324100"/>
                  <wp:effectExtent b="0" l="0" r="0" t="0"/>
                  <wp:docPr id="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1213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160" w:line="259" w:lineRule="auto"/>
              <w:jc w:val="center"/>
              <w:rPr>
                <w:rFonts w:ascii="Arial Nova Cond Light" w:cs="Arial Nova Cond Light" w:eastAsia="Arial Nova Cond Light" w:hAnsi="Arial Nova Cond Light"/>
                <w:sz w:val="22"/>
                <w:szCs w:val="22"/>
              </w:rPr>
            </w:pPr>
            <w:r w:rsidDel="00000000" w:rsidR="00000000" w:rsidRPr="00000000">
              <w:rPr>
                <w:rtl w:val="0"/>
              </w:rPr>
            </w:r>
          </w:p>
          <w:p w:rsidR="00000000" w:rsidDel="00000000" w:rsidP="00000000" w:rsidRDefault="00000000" w:rsidRPr="00000000" w14:paraId="00000077">
            <w:pPr>
              <w:spacing w:after="160" w:line="259" w:lineRule="auto"/>
              <w:jc w:val="center"/>
              <w:rPr>
                <w:rFonts w:ascii="Arial Nova Cond Light" w:cs="Arial Nova Cond Light" w:eastAsia="Arial Nova Cond Light" w:hAnsi="Arial Nova Cond Light"/>
                <w:sz w:val="22"/>
                <w:szCs w:val="22"/>
              </w:rPr>
            </w:pPr>
            <w:r w:rsidDel="00000000" w:rsidR="00000000" w:rsidRPr="00000000">
              <w:rPr>
                <w:rtl w:val="0"/>
              </w:rPr>
            </w:r>
          </w:p>
          <w:p w:rsidR="00000000" w:rsidDel="00000000" w:rsidP="00000000" w:rsidRDefault="00000000" w:rsidRPr="00000000" w14:paraId="00000078">
            <w:pPr>
              <w:spacing w:after="160" w:line="259" w:lineRule="auto"/>
              <w:jc w:val="center"/>
              <w:rPr>
                <w:rFonts w:ascii="Arial Nova Cond Light" w:cs="Arial Nova Cond Light" w:eastAsia="Arial Nova Cond Light" w:hAnsi="Arial Nova Cond Light"/>
                <w:sz w:val="22"/>
                <w:szCs w:val="22"/>
              </w:rPr>
            </w:pPr>
            <w:r w:rsidDel="00000000" w:rsidR="00000000" w:rsidRPr="00000000">
              <w:rPr>
                <w:rtl w:val="0"/>
              </w:rPr>
            </w:r>
          </w:p>
          <w:p w:rsidR="00000000" w:rsidDel="00000000" w:rsidP="00000000" w:rsidRDefault="00000000" w:rsidRPr="00000000" w14:paraId="00000079">
            <w:pPr>
              <w:spacing w:after="160" w:line="259" w:lineRule="auto"/>
              <w:jc w:val="center"/>
              <w:rPr>
                <w:rFonts w:ascii="Arial Nova Cond Light" w:cs="Arial Nova Cond Light" w:eastAsia="Arial Nova Cond Light" w:hAnsi="Arial Nova Cond Light"/>
                <w:sz w:val="22"/>
                <w:szCs w:val="22"/>
              </w:rPr>
            </w:pPr>
            <w:r w:rsidDel="00000000" w:rsidR="00000000" w:rsidRPr="00000000">
              <w:rPr>
                <w:rtl w:val="0"/>
              </w:rPr>
            </w:r>
          </w:p>
          <w:p w:rsidR="00000000" w:rsidDel="00000000" w:rsidP="00000000" w:rsidRDefault="00000000" w:rsidRPr="00000000" w14:paraId="0000007A">
            <w:pPr>
              <w:spacing w:after="160" w:line="259" w:lineRule="auto"/>
              <w:jc w:val="center"/>
              <w:rPr>
                <w:rFonts w:ascii="Arial Nova Cond Light" w:cs="Arial Nova Cond Light" w:eastAsia="Arial Nova Cond Light" w:hAnsi="Arial Nova Cond Light"/>
                <w:sz w:val="22"/>
                <w:szCs w:val="22"/>
              </w:rPr>
            </w:pPr>
            <w:r w:rsidDel="00000000" w:rsidR="00000000" w:rsidRPr="00000000">
              <w:rPr>
                <w:rtl w:val="0"/>
              </w:rPr>
            </w:r>
          </w:p>
        </w:tc>
      </w:tr>
      <w:tr>
        <w:trPr>
          <w:cantSplit w:val="0"/>
          <w:trHeight w:val="400" w:hRule="atLeast"/>
          <w:tblHeader w:val="0"/>
        </w:trPr>
        <w:tc>
          <w:tcPr>
            <w:gridSpan w:val="2"/>
            <w:shd w:fill="adcfff"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sz w:val="22"/>
                <w:szCs w:val="22"/>
              </w:rPr>
            </w:pPr>
            <w:r w:rsidDel="00000000" w:rsidR="00000000" w:rsidRPr="00000000">
              <w:rPr>
                <w:b w:val="1"/>
                <w:sz w:val="22"/>
                <w:szCs w:val="22"/>
                <w:rtl w:val="0"/>
              </w:rPr>
              <w:t xml:space="preserve">PROFILAXIS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spacing w:after="160" w:line="259"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380084" cy="1612985"/>
                  <wp:effectExtent b="0" l="0" r="0" t="0"/>
                  <wp:docPr id="1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80084" cy="1612985"/>
                          </a:xfrm>
                          <a:prstGeom prst="rect"/>
                          <a:ln/>
                        </pic:spPr>
                      </pic:pic>
                    </a:graphicData>
                  </a:graphic>
                </wp:inline>
              </w:drawing>
            </w:r>
            <w:r w:rsidDel="00000000" w:rsidR="00000000" w:rsidRPr="00000000">
              <w:rPr>
                <w:rtl w:val="0"/>
              </w:rPr>
            </w:r>
          </w:p>
        </w:tc>
      </w:tr>
      <w:tr>
        <w:trPr>
          <w:cantSplit w:val="0"/>
          <w:tblHeader w:val="0"/>
        </w:trPr>
        <w:tc>
          <w:tcPr>
            <w:shd w:fill="adcff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COMPLICACIONES </w:t>
            </w:r>
          </w:p>
        </w:tc>
        <w:tc>
          <w:tcPr>
            <w:shd w:fill="adcfff"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PREVENCIÓN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La complicación es inversamente proporcional a la edad (&lt; edad son más)</w:t>
            </w:r>
          </w:p>
          <w:p w:rsidR="00000000" w:rsidDel="00000000" w:rsidP="00000000" w:rsidRDefault="00000000" w:rsidRPr="00000000" w14:paraId="0000008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Neumonía (neumonitis intersticial 23%) </w:t>
            </w:r>
          </w:p>
          <w:p w:rsidR="00000000" w:rsidDel="00000000" w:rsidP="00000000" w:rsidRDefault="00000000" w:rsidRPr="00000000" w14:paraId="0000008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Primera causa de muerte en niños menores por atelectasia, neumotórax, OMA</w:t>
            </w:r>
          </w:p>
          <w:p w:rsidR="00000000" w:rsidDel="00000000" w:rsidP="00000000" w:rsidRDefault="00000000" w:rsidRPr="00000000" w14:paraId="0000008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SNC: Encefalopatía (0,3%) por hipoxia, es menos mortal, pero puede dejar secuelas</w:t>
            </w:r>
          </w:p>
          <w:p w:rsidR="00000000" w:rsidDel="00000000" w:rsidP="00000000" w:rsidRDefault="00000000" w:rsidRPr="00000000" w14:paraId="0000008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Convulsiones (1,1%), sorderas, retraso mental.</w:t>
            </w:r>
          </w:p>
          <w:p w:rsidR="00000000" w:rsidDel="00000000" w:rsidP="00000000" w:rsidRDefault="00000000" w:rsidRPr="00000000" w14:paraId="0000008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Cerca de 1 de cada 100 (1%) muere.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Vacunación (2-4-6 meses) refuerzo 18 meses y 5 años (Porción celular de la toxina pertussis) </w:t>
            </w:r>
            <w:r w:rsidDel="00000000" w:rsidR="00000000" w:rsidRPr="00000000">
              <w:rPr>
                <w:rtl w:val="0"/>
              </w:rPr>
            </w:r>
          </w:p>
          <w:p w:rsidR="00000000" w:rsidDel="00000000" w:rsidP="00000000" w:rsidRDefault="00000000" w:rsidRPr="00000000" w14:paraId="0000008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Quimioprofilaxis a contacto estrecho </w:t>
            </w:r>
            <w:r w:rsidDel="00000000" w:rsidR="00000000" w:rsidRPr="00000000">
              <w:rPr>
                <w:rtl w:val="0"/>
              </w:rPr>
            </w:r>
          </w:p>
          <w:p w:rsidR="00000000" w:rsidDel="00000000" w:rsidP="00000000" w:rsidRDefault="00000000" w:rsidRPr="00000000" w14:paraId="0000008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Aislar al paciente con el diagnóstico al menos por 5 días. Realizar el aislamiento respiratorio a partir de que se instaure el manejo.  </w:t>
            </w:r>
            <w:r w:rsidDel="00000000" w:rsidR="00000000" w:rsidRPr="00000000">
              <w:rPr>
                <w:rtl w:val="0"/>
              </w:rPr>
            </w:r>
          </w:p>
          <w:p w:rsidR="00000000" w:rsidDel="00000000" w:rsidP="00000000" w:rsidRDefault="00000000" w:rsidRPr="00000000" w14:paraId="0000008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Uso de tapabocas </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600075</wp:posOffset>
                  </wp:positionH>
                  <wp:positionV relativeFrom="paragraph">
                    <wp:posOffset>46341</wp:posOffset>
                  </wp:positionV>
                  <wp:extent cx="1729537" cy="2488249"/>
                  <wp:effectExtent b="0" l="0" r="0" t="0"/>
                  <wp:wrapTopAndBottom distB="0" dist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729537" cy="2488249"/>
                          </a:xfrm>
                          <a:prstGeom prst="rect"/>
                          <a:ln/>
                        </pic:spPr>
                      </pic:pic>
                    </a:graphicData>
                  </a:graphic>
                </wp:anchor>
              </w:drawing>
            </w:r>
          </w:p>
          <w:p w:rsidR="00000000" w:rsidDel="00000000" w:rsidP="00000000" w:rsidRDefault="00000000" w:rsidRPr="00000000" w14:paraId="0000008E">
            <w:pPr>
              <w:spacing w:after="160" w:line="259" w:lineRule="auto"/>
              <w:jc w:val="center"/>
              <w:rPr>
                <w:sz w:val="22"/>
                <w:szCs w:val="22"/>
              </w:rPr>
            </w:pPr>
            <w:r w:rsidDel="00000000" w:rsidR="00000000" w:rsidRPr="00000000">
              <w:rPr>
                <w:rtl w:val="0"/>
              </w:rPr>
            </w:r>
          </w:p>
        </w:tc>
      </w:tr>
    </w:tbl>
    <w:p w:rsidR="00000000" w:rsidDel="00000000" w:rsidP="00000000" w:rsidRDefault="00000000" w:rsidRPr="00000000" w14:paraId="0000008F">
      <w:pPr>
        <w:spacing w:after="160" w:line="259" w:lineRule="auto"/>
        <w:jc w:val="center"/>
        <w:rPr>
          <w:sz w:val="22"/>
          <w:szCs w:val="22"/>
        </w:rPr>
      </w:pPr>
      <w:r w:rsidDel="00000000" w:rsidR="00000000" w:rsidRPr="00000000">
        <w:rPr>
          <w:rFonts w:ascii="Arial Nova Cond Light" w:cs="Arial Nova Cond Light" w:eastAsia="Arial Nova Cond Light" w:hAnsi="Arial Nova Cond Light"/>
          <w:sz w:val="22"/>
          <w:szCs w:val="22"/>
        </w:rPr>
        <w:drawing>
          <wp:inline distB="19050" distT="19050" distL="19050" distR="19050">
            <wp:extent cx="5578465" cy="3499117"/>
            <wp:effectExtent b="0" l="0" r="0" t="0"/>
            <wp:docPr descr="https://www.pediatriaintegral.es/wp-content/uploads/2014/xviii02/03/tabla4.JPG" id="16" name="image8.jpg"/>
            <a:graphic>
              <a:graphicData uri="http://schemas.openxmlformats.org/drawingml/2006/picture">
                <pic:pic>
                  <pic:nvPicPr>
                    <pic:cNvPr descr="https://www.pediatriaintegral.es/wp-content/uploads/2014/xviii02/03/tabla4.JPG" id="0" name="image8.jpg"/>
                    <pic:cNvPicPr preferRelativeResize="0"/>
                  </pic:nvPicPr>
                  <pic:blipFill>
                    <a:blip r:embed="rId14"/>
                    <a:srcRect b="0" l="0" r="0" t="0"/>
                    <a:stretch>
                      <a:fillRect/>
                    </a:stretch>
                  </pic:blipFill>
                  <pic:spPr>
                    <a:xfrm>
                      <a:off x="0" y="0"/>
                      <a:ext cx="5578465" cy="3499117"/>
                    </a:xfrm>
                    <a:prstGeom prst="rect"/>
                    <a:ln/>
                  </pic:spPr>
                </pic:pic>
              </a:graphicData>
            </a:graphic>
          </wp:inline>
        </w:drawing>
      </w:r>
      <w:r w:rsidDel="00000000" w:rsidR="00000000" w:rsidRPr="00000000">
        <w:rPr>
          <w:rtl w:val="0"/>
        </w:rPr>
      </w:r>
    </w:p>
    <w:sectPr>
      <w:headerReference r:id="rId15" w:type="default"/>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bri"/>
  <w:font w:name="Arial Nova Cond Light"/>
  <w:font w:name="Quicksand">
    <w:embedRegular w:fontKey="{00000000-0000-0000-0000-000000000000}" r:id="rId1" w:subsetted="0"/>
    <w:embedBold w:fontKey="{00000000-0000-0000-0000-000000000000}" r:id="rId2" w:subsetted="0"/>
  </w:font>
  <w:font w:name="Charmonman">
    <w:embedRegular w:fontKey="{00000000-0000-0000-0000-000000000000}" r:id="rId3" w:subsetted="0"/>
    <w:embedBold w:fontKey="{00000000-0000-0000-0000-000000000000}" r:id="rId4" w:subsetted="0"/>
  </w:font>
  <w:font w:name="Calistoga">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jc w:val="right"/>
      <w:rPr>
        <w:rFonts w:ascii="Quicksand" w:cs="Quicksand" w:eastAsia="Quicksand" w:hAnsi="Quicksand"/>
        <w:b w:val="1"/>
        <w:i w:val="1"/>
        <w:sz w:val="16"/>
        <w:szCs w:val="16"/>
      </w:rPr>
    </w:pPr>
    <w:r w:rsidDel="00000000" w:rsidR="00000000" w:rsidRPr="00000000">
      <w:rPr>
        <w:rFonts w:ascii="Quicksand" w:cs="Quicksand" w:eastAsia="Quicksand" w:hAnsi="Quicksand"/>
        <w:b w:val="1"/>
        <w:i w:val="1"/>
        <w:sz w:val="16"/>
        <w:szCs w:val="16"/>
        <w:rtl w:val="0"/>
      </w:rPr>
      <w:t xml:space="preserve">01.04.2024</w:t>
    </w:r>
  </w:p>
  <w:p w:rsidR="00000000" w:rsidDel="00000000" w:rsidP="00000000" w:rsidRDefault="00000000" w:rsidRPr="00000000" w14:paraId="00000091">
    <w:pPr>
      <w:jc w:val="right"/>
      <w:rPr>
        <w:rFonts w:ascii="Quicksand" w:cs="Quicksand" w:eastAsia="Quicksand" w:hAnsi="Quicksand"/>
        <w:b w:val="1"/>
        <w:i w:val="1"/>
        <w:sz w:val="16"/>
        <w:szCs w:val="16"/>
      </w:rPr>
    </w:pPr>
    <w:r w:rsidDel="00000000" w:rsidR="00000000" w:rsidRPr="00000000">
      <w:rPr>
        <w:rFonts w:ascii="Quicksand" w:cs="Quicksand" w:eastAsia="Quicksand" w:hAnsi="Quicksand"/>
        <w:b w:val="1"/>
        <w:i w:val="1"/>
        <w:sz w:val="16"/>
        <w:szCs w:val="16"/>
        <w:rtl w:val="0"/>
      </w:rPr>
      <w:t xml:space="preserve">Mauren Thilisay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jc w:val="left"/>
    </w:pPr>
    <w:rPr>
      <w:b w:val="1"/>
      <w:color w:val="0000ff"/>
      <w:sz w:val="22"/>
      <w:szCs w:val="22"/>
    </w:rPr>
  </w:style>
  <w:style w:type="paragraph" w:styleId="Heading2">
    <w:name w:val="heading 2"/>
    <w:basedOn w:val="Normal"/>
    <w:next w:val="Normal"/>
    <w:pPr>
      <w:keepNext w:val="1"/>
      <w:keepLines w:val="1"/>
      <w:spacing w:line="276" w:lineRule="auto"/>
    </w:pPr>
    <w:rPr>
      <w:b w:val="1"/>
      <w:shd w:fill="d9ead3" w:val="clear"/>
    </w:rPr>
  </w:style>
  <w:style w:type="paragraph" w:styleId="Heading3">
    <w:name w:val="heading 3"/>
    <w:basedOn w:val="Normal"/>
    <w:next w:val="Normal"/>
    <w:pPr>
      <w:keepNext w:val="1"/>
      <w:keepLines w:val="1"/>
    </w:pPr>
    <w:rPr>
      <w:b w:val="1"/>
      <w:color w:val="a06cf6"/>
    </w:rPr>
  </w:style>
  <w:style w:type="paragraph" w:styleId="Heading4">
    <w:name w:val="heading 4"/>
    <w:basedOn w:val="Normal"/>
    <w:next w:val="Normal"/>
    <w:pPr>
      <w:keepNext w:val="1"/>
      <w:keepLines w:val="1"/>
    </w:pPr>
    <w:rPr>
      <w:b w:val="1"/>
      <w:color w:val="0000ff"/>
      <w:u w:val="single"/>
    </w:rPr>
  </w:style>
  <w:style w:type="paragraph" w:styleId="Heading5">
    <w:name w:val="heading 5"/>
    <w:basedOn w:val="Normal"/>
    <w:next w:val="Normal"/>
    <w:pPr>
      <w:keepNext w:val="1"/>
      <w:keepLines w:val="1"/>
    </w:pPr>
    <w:rPr>
      <w:b w:val="1"/>
      <w:shd w:fill="fff2cc" w:val="clear"/>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76" w:lineRule="auto"/>
      <w:jc w:val="center"/>
    </w:pPr>
    <w:rPr>
      <w:rFonts w:ascii="Calistoga" w:cs="Calistoga" w:eastAsia="Calistoga" w:hAnsi="Calistoga"/>
      <w:b w:val="1"/>
      <w:color w:val="ff0000"/>
      <w:sz w:val="34"/>
      <w:szCs w:val="3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adcfff"/>
      <w:sz w:val="24"/>
      <w:szCs w:val="24"/>
    </w:rPr>
  </w:style>
  <w:style w:type="paragraph" w:styleId="Heading2">
    <w:name w:val="heading 2"/>
    <w:basedOn w:val="Normal"/>
    <w:next w:val="Normal"/>
    <w:pPr>
      <w:keepNext w:val="1"/>
      <w:keepLines w:val="1"/>
      <w:jc w:val="center"/>
    </w:pPr>
    <w:rPr>
      <w:b w:val="1"/>
      <w:color w:val="ff9900"/>
    </w:rPr>
  </w:style>
  <w:style w:type="paragraph" w:styleId="Heading3">
    <w:name w:val="heading 3"/>
    <w:basedOn w:val="Normal"/>
    <w:next w:val="Normal"/>
    <w:pPr>
      <w:keepNext w:val="1"/>
      <w:keepLines w:val="1"/>
    </w:pPr>
    <w:rPr>
      <w:b w:val="1"/>
      <w:color w:val="c98ee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Satisfy" w:cs="Satisfy" w:eastAsia="Satisfy" w:hAnsi="Satisfy"/>
      <w:b w:val="1"/>
      <w:color w:val="fa26a0"/>
      <w:sz w:val="80"/>
      <w:szCs w:val="80"/>
    </w:rPr>
  </w:style>
  <w:style w:type="paragraph" w:styleId="Subtitle">
    <w:name w:val="Subtitle"/>
    <w:basedOn w:val="Normal"/>
    <w:next w:val="Normal"/>
    <w:pPr>
      <w:keepNext w:val="1"/>
      <w:keepLines w:val="1"/>
    </w:pPr>
    <w:rPr>
      <w:b w:val="1"/>
      <w:color w:val="caffe6"/>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jc w:val="left"/>
    </w:pPr>
    <w:rPr>
      <w:rFonts w:ascii="Charmonman" w:cs="Charmonman" w:eastAsia="Charmonman" w:hAnsi="Charmonman"/>
      <w:sz w:val="26"/>
      <w:szCs w:val="26"/>
      <w:u w:val="singl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8.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Charmonman-regular.ttf"/><Relationship Id="rId4" Type="http://schemas.openxmlformats.org/officeDocument/2006/relationships/font" Target="fonts/Charmonman-bold.ttf"/><Relationship Id="rId5" Type="http://schemas.openxmlformats.org/officeDocument/2006/relationships/font" Target="fonts/Calistog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uAfChlS75+auQl2aBbiBD9Ayqg==">CgMxLjAaHQoBMBIYChYIB0ISEhBBcmlhbCBVbmljb2RlIE1TMg5oLnJ5cnpuOGs3anVoZDgAciExU0Njb2VCYm13NjJhZ3E0czVOT0FlSFQwZ21ZOHkyV1Y=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