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9"/>
        <w:gridCol w:w="4419"/>
        <w:tblGridChange w:id="0">
          <w:tblGrid>
            <w:gridCol w:w="4419"/>
            <w:gridCol w:w="441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8"/>
                <w:szCs w:val="28"/>
                <w:rtl w:val="0"/>
              </w:rPr>
              <w:t xml:space="preserve">HISTORIA CLÍNICA </w:t>
            </w:r>
          </w:p>
        </w:tc>
      </w:tr>
      <w:tr>
        <w:trPr>
          <w:cantSplit w:val="0"/>
          <w:tblHeader w:val="0"/>
        </w:trPr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DEFINICIÓN </w:t>
            </w:r>
          </w:p>
        </w:tc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OBJETIVOS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highlight w:val="yellow"/>
                <w:rtl w:val="0"/>
              </w:rPr>
              <w:t xml:space="preserve">Periodo de crecimiento y desarrollo humano entre 10-20 años de edad</w:t>
            </w: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, es una etapa muy importante hay un ritmo acelerado del crecimiento.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Candara" w:cs="Candara" w:eastAsia="Candara" w:hAnsi="Candara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Viene del latín adoleceré que significa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crecer o madurar.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Modifican sus relaciones sociales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Desarrollan nueva identidad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Adquieren el pensamiento abstracto y autonomía emocional de las figuras paternas 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0" w:lineRule="auto"/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Se incorporan a la vida adulta a través de una inserción laboral que les facilita autonomía economía y el logro de proyectos en la vida.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Se alcanza la capacidad de intimar sexualmente y de reproducción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7"/>
              </w:numPr>
              <w:spacing w:after="0" w:lineRule="auto"/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Objetivo: Mejorar la calidad de atención de los adolescentes en los servicios de salud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7"/>
              </w:numPr>
              <w:spacing w:after="0" w:lineRule="auto"/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Facilita el registro y evaluación integral de salud del adolescente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7"/>
              </w:numPr>
              <w:spacing w:after="0" w:lineRule="auto"/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Adecuada valoración del adolescente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7"/>
              </w:numPr>
              <w:spacing w:after="0" w:lineRule="auto"/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Requiere tiempo (30-45 minutos), formación especializada y una visión integral del adolescente y su circunstancia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7"/>
              </w:numPr>
              <w:spacing w:after="0" w:lineRule="auto"/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Cuando se hace un seguimiento con un niño desde que nace hay empatía, pero si llega por primera vez, el adolescente va a llegar prevenido, porque lo llevaron al médico y no quería ir, esa práctica de llegar a ese adolescente.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7"/>
              </w:numPr>
              <w:ind w:left="354.3307086614169" w:hanging="36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Conocimientos de las etapas evolutivas normales y de los recursos que brinda la sociedad</w:t>
            </w:r>
          </w:p>
        </w:tc>
      </w:tr>
      <w:tr>
        <w:trPr>
          <w:cantSplit w:val="0"/>
          <w:tblHeader w:val="0"/>
        </w:trPr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0" w:lineRule="auto"/>
              <w:ind w:left="36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TIPOS DE ADOLESCENCIA </w:t>
            </w:r>
          </w:p>
        </w:tc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lineRule="auto"/>
              <w:ind w:left="354.3307086614169" w:hanging="36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EVALUE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lineRule="auto"/>
              <w:ind w:left="360" w:firstLine="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170.0" w:type="dxa"/>
              <w:jc w:val="left"/>
              <w:tblInd w:w="7.5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92.5"/>
              <w:gridCol w:w="2677.5"/>
              <w:tblGridChange w:id="0">
                <w:tblGrid>
                  <w:gridCol w:w="1492.5"/>
                  <w:gridCol w:w="2677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  <w:rtl w:val="0"/>
                    </w:rPr>
                    <w:t xml:space="preserve">TEMPRANA: 10-13 años.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16"/>
                      <w:szCs w:val="16"/>
                      <w:rtl w:val="0"/>
                    </w:rPr>
                    <w:t xml:space="preserve">Aquí aparecen cambios es su estructura corporal y funcional y es donde se observa la menarquia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  <w:rtl w:val="0"/>
                    </w:rPr>
                    <w:t xml:space="preserve">INTERMEDIA: 14-16: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16"/>
                      <w:szCs w:val="16"/>
                      <w:rtl w:val="0"/>
                    </w:rPr>
                    <w:t xml:space="preserve">Completado desarrollo somático y empiezan a preocuparse por la apariencia física y es donde más se presentan lesiones de su apariencia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ce5cd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b w:val="1"/>
                      <w:sz w:val="16"/>
                      <w:szCs w:val="16"/>
                      <w:rtl w:val="0"/>
                    </w:rPr>
                    <w:t xml:space="preserve">TARDÍA: 17-20 años: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Montserrat" w:cs="Montserrat" w:eastAsia="Montserrat" w:hAnsi="Montserrat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16"/>
                      <w:szCs w:val="16"/>
                      <w:rtl w:val="0"/>
                    </w:rPr>
                    <w:t xml:space="preserve">No se presentan tantos cambios, empiezan aceptar su apariencia y comienzan las metas vocacionales reales.</w:t>
                  </w:r>
                </w:p>
              </w:tc>
            </w:tr>
          </w:tbl>
          <w:p w:rsidR="00000000" w:rsidDel="00000000" w:rsidP="00000000" w:rsidRDefault="00000000" w:rsidRPr="00000000" w14:paraId="0000001C">
            <w:pPr>
              <w:spacing w:after="0" w:lineRule="auto"/>
              <w:ind w:left="360" w:firstLine="0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lineRule="auto"/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</w:rPr>
              <w:drawing>
                <wp:inline distB="0" distT="0" distL="0" distR="0">
                  <wp:extent cx="2657475" cy="1473200"/>
                  <wp:effectExtent b="0" l="0" r="0" t="0"/>
                  <wp:docPr id="3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Rule="auto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ESTIMA:</w:t>
            </w: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 De su cuerpo que cambiaría </w:t>
            </w:r>
          </w:p>
          <w:p w:rsidR="00000000" w:rsidDel="00000000" w:rsidP="00000000" w:rsidRDefault="00000000" w:rsidRPr="00000000" w14:paraId="0000001F">
            <w:pPr>
              <w:spacing w:after="0" w:lineRule="auto"/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Es un documento confidencial. Excepto que te pongan en riesgo o pongas en riesgo </w:t>
            </w:r>
          </w:p>
          <w:p w:rsidR="00000000" w:rsidDel="00000000" w:rsidP="00000000" w:rsidRDefault="00000000" w:rsidRPr="00000000" w14:paraId="00000020">
            <w:pPr>
              <w:spacing w:after="0" w:lineRule="auto"/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(Abuso, consumo de sustancias, maltrato, relaciones sexuales a riesgo, embarazo, ideas sucididas y bullying )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9"/>
        <w:gridCol w:w="4419"/>
        <w:tblGridChange w:id="0">
          <w:tblGrid>
            <w:gridCol w:w="4419"/>
            <w:gridCol w:w="4419"/>
          </w:tblGrid>
        </w:tblGridChange>
      </w:tblGrid>
      <w:tr>
        <w:trPr>
          <w:cantSplit w:val="0"/>
          <w:tblHeader w:val="0"/>
        </w:trPr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MEDIO LEGAL </w:t>
            </w:r>
          </w:p>
        </w:tc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EXAMEN FÍSICO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</w:rPr>
              <w:drawing>
                <wp:inline distB="0" distT="0" distL="0" distR="0">
                  <wp:extent cx="2657475" cy="1092200"/>
                  <wp:effectExtent b="0" l="0" r="0" t="0"/>
                  <wp:docPr id="4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Debe saber que es confidencial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</w:rPr>
              <w:drawing>
                <wp:inline distB="0" distT="0" distL="0" distR="0">
                  <wp:extent cx="2657475" cy="800100"/>
                  <wp:effectExtent b="12700" l="12700" r="12700" t="12700"/>
                  <wp:docPr id="3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800100"/>
                          </a:xfrm>
                          <a:prstGeom prst="rect"/>
                          <a:ln w="12700">
                            <a:solidFill>
                              <a:srgbClr val="F1C232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Las curvas usar las de 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Curvas de percentiles si sirven solo que depende de una buena interpretación.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El desarrollo puberal se hace con la escala de Tanner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Evalúe cavidad oral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after="0" w:lineRule="auto"/>
              <w:ind w:left="720" w:hanging="360"/>
              <w:jc w:val="both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Examen osteomuscular (Columna)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ERRORES DEL ENTREVISTADOR </w:t>
            </w:r>
          </w:p>
        </w:tc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IMPORTANTE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Pueden afectar de manera negativa la relación con el Adolescente SON: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Actitud DOMINANTE.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Actitud MORALISTA.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Actitud PATERNALISTA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Actitud INFANTIL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Actitud ADOLESCENTE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Hacinamiento: </w:t>
            </w: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Comparte con tres personas o más su habitación para dormir.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highlight w:val="yellow"/>
                <w:rtl w:val="0"/>
              </w:rPr>
              <w:t xml:space="preserve">MARCAS AMARILLAS SON ALARMAS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highlight w:val="yellow"/>
                <w:rtl w:val="0"/>
              </w:rPr>
              <w:t xml:space="preserve">ASESORÍA Y PREVENCIÓN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Consultar en caso de enfermedad, situaciones de riesgo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Debe ser examinado anualmente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Asesoría a padres sobre buenas prácticas para el cuidado de sus hijos adolescente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PREGUNTAS </w:t>
            </w:r>
          </w:p>
        </w:tc>
        <w:tc>
          <w:tcPr>
            <w:shd w:fill="f6b26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APGAR FAMILIAR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Espermarca:  Explicar primero qué sucede ¿Te acuerdas cuando inició?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18"/>
                <w:szCs w:val="18"/>
                <w:rtl w:val="0"/>
              </w:rPr>
              <w:t xml:space="preserve">De todos los adultos en quién confías más (Referente adulto)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Montserrat" w:cs="Montserrat" w:eastAsia="Montserrat" w:hAnsi="Montserrat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18"/>
                <w:szCs w:val="18"/>
                <w:rtl w:val="0"/>
              </w:rPr>
              <w:t xml:space="preserve">INTERPRETACIÓN APGAR </w:t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Montserrat" w:cs="Montserrat" w:eastAsia="Montserrat" w:hAnsi="Montserrat"/>
                <w:sz w:val="18"/>
                <w:szCs w:val="18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</w:rPr>
              <w:drawing>
                <wp:inline distB="0" distT="0" distL="0" distR="0">
                  <wp:extent cx="2569467" cy="700764"/>
                  <wp:effectExtent b="0" l="0" r="0" t="0"/>
                  <wp:docPr id="4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25596" l="57562" r="1751" t="53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67" cy="7007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both"/>
              <w:rPr>
                <w:rFonts w:ascii="Candara" w:cs="Candara" w:eastAsia="Candara" w:hAnsi="Candara"/>
                <w:sz w:val="24"/>
                <w:szCs w:val="24"/>
              </w:rPr>
            </w:pPr>
            <w:r w:rsidDel="00000000" w:rsidR="00000000" w:rsidRPr="00000000">
              <w:rPr>
                <w:rFonts w:ascii="Candara" w:cs="Candara" w:eastAsia="Candara" w:hAnsi="Candara"/>
                <w:sz w:val="24"/>
                <w:szCs w:val="24"/>
              </w:rPr>
              <w:drawing>
                <wp:inline distB="0" distT="0" distL="0" distR="0">
                  <wp:extent cx="2344103" cy="2128388"/>
                  <wp:effectExtent b="0" l="0" r="0" t="0"/>
                  <wp:docPr id="4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4171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103" cy="2128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</w:rPr>
        <w:drawing>
          <wp:inline distB="0" distT="0" distL="0" distR="0">
            <wp:extent cx="5777968" cy="3410267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7968" cy="34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</w:rPr>
        <w:drawing>
          <wp:inline distB="0" distT="0" distL="0" distR="0">
            <wp:extent cx="5691188" cy="4072316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072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ndara" w:cs="Candara" w:eastAsia="Candara" w:hAnsi="Candara"/>
          <w:b w:val="1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</w:rPr>
        <w:drawing>
          <wp:inline distB="0" distT="0" distL="0" distR="0">
            <wp:extent cx="5357813" cy="4212631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421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sz w:val="24"/>
          <w:szCs w:val="24"/>
        </w:rPr>
        <w:drawing>
          <wp:inline distB="0" distT="0" distL="0" distR="0">
            <wp:extent cx="5281613" cy="3189281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189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Candara" w:cs="Candara" w:eastAsia="Candara" w:hAnsi="Candara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</w:rPr>
        <w:drawing>
          <wp:inline distB="114300" distT="114300" distL="114300" distR="114300">
            <wp:extent cx="3553778" cy="2632048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263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</w:rPr>
        <w:drawing>
          <wp:inline distB="114300" distT="114300" distL="114300" distR="114300">
            <wp:extent cx="3515678" cy="2609056"/>
            <wp:effectExtent b="0" l="0" r="0" t="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678" cy="260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highlight w:val="yellow"/>
        </w:rPr>
        <w:drawing>
          <wp:inline distB="114300" distT="114300" distL="114300" distR="114300">
            <wp:extent cx="3515678" cy="2695015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678" cy="269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-3454399</wp:posOffset>
                </wp:positionH>
                <wp:positionV relativeFrom="paragraph">
                  <wp:posOffset>3416300</wp:posOffset>
                </wp:positionV>
                <wp:extent cx="8029893" cy="1412480"/>
                <wp:effectExtent b="0" l="0" r="0" t="0"/>
                <wp:wrapSquare wrapText="bothSides" distB="114300" distT="114300" distL="114300" distR="11430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5400000">
                          <a:off x="3587550" y="3479850"/>
                          <a:ext cx="3516900" cy="6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ytone One" w:cs="Paytone One" w:eastAsia="Paytone One" w:hAnsi="Paytone One"/>
                                <w:b w:val="0"/>
                                <w:i w:val="0"/>
                                <w:smallCaps w:val="0"/>
                                <w:strike w:val="0"/>
                                <w:color w:val="0b5394"/>
                                <w:sz w:val="54"/>
                                <w:vertAlign w:val="baseline"/>
                              </w:rPr>
                              <w:t xml:space="preserve">ESCALA DE TANNER 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-3454399</wp:posOffset>
                </wp:positionH>
                <wp:positionV relativeFrom="paragraph">
                  <wp:posOffset>3416300</wp:posOffset>
                </wp:positionV>
                <wp:extent cx="8029893" cy="1412480"/>
                <wp:effectExtent b="0" l="0" r="0" t="0"/>
                <wp:wrapSquare wrapText="bothSides" distB="114300" distT="114300" distL="114300" distR="114300"/>
                <wp:docPr id="3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29893" cy="1412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footerReference r:id="rId19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3E7C4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g6RhfQJcoTwSMUQg3lps7YJf7g==">CgMxLjA4AHIhMVc0Uk1BMDVTaTFLMkhoX21zNEN0V1Z4WU80d0RoR2xw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2020-08-10T01:17:00Z</dcterms:created>
  <dc:creator>Fernando Ruiz Julio</dc:creator>
</cp:coreProperties>
</file>